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9535442" w14:textId="77777777" w:rsidR="002D0BC0" w:rsidRDefault="00F605CD" w:rsidP="003B6846">
      <w:pPr>
        <w:pStyle w:val="Humber-Heading1"/>
      </w:pPr>
      <w:bookmarkStart w:id="0" w:name="_GoBack"/>
      <w:bookmarkEnd w:id="0"/>
      <w:r>
        <w:t xml:space="preserve"> </w:t>
      </w:r>
    </w:p>
    <w:p w14:paraId="5CD4177B" w14:textId="77777777" w:rsidR="00F605CD" w:rsidRDefault="00F605CD" w:rsidP="003B6846">
      <w:pPr>
        <w:pStyle w:val="Humber-Heading1"/>
        <w:sectPr w:rsidR="00F605CD" w:rsidSect="003B6846">
          <w:headerReference w:type="default" r:id="rId10"/>
          <w:footerReference w:type="even" r:id="rId11"/>
          <w:footerReference w:type="default" r:id="rId12"/>
          <w:pgSz w:w="11906" w:h="16838" w:code="9"/>
          <w:pgMar w:top="1418" w:right="1418" w:bottom="1418" w:left="1418" w:header="567" w:footer="720" w:gutter="0"/>
          <w:cols w:space="720"/>
        </w:sectPr>
      </w:pPr>
    </w:p>
    <w:p w14:paraId="4F95A9AB" w14:textId="77777777" w:rsidR="002D0BC0" w:rsidRDefault="002D0BC0" w:rsidP="003B6846">
      <w:pPr>
        <w:pStyle w:val="Humber-Heading1"/>
      </w:pPr>
    </w:p>
    <w:p w14:paraId="3B9AD2BF" w14:textId="77777777" w:rsidR="002D0BC0" w:rsidRDefault="00A72B27" w:rsidP="003B6846">
      <w:pPr>
        <w:pStyle w:val="Humber-Heading1"/>
      </w:pPr>
      <w:r>
        <w:tab/>
      </w:r>
      <w:r>
        <w:tab/>
      </w:r>
      <w:r>
        <w:tab/>
      </w:r>
      <w:r>
        <w:tab/>
      </w:r>
      <w:r>
        <w:tab/>
      </w:r>
      <w:r>
        <w:tab/>
      </w:r>
      <w:r>
        <w:tab/>
      </w:r>
      <w:r>
        <w:tab/>
      </w:r>
      <w:r>
        <w:tab/>
        <w:t>Date</w:t>
      </w:r>
      <w:r w:rsidR="00847899">
        <w:t xml:space="preserve"> 10</w:t>
      </w:r>
      <w:r w:rsidR="0048724C">
        <w:t>/0</w:t>
      </w:r>
      <w:r w:rsidR="00847899">
        <w:t>6</w:t>
      </w:r>
      <w:r w:rsidR="0048724C">
        <w:t>/201</w:t>
      </w:r>
      <w:r w:rsidR="00847899">
        <w:t>6</w:t>
      </w:r>
    </w:p>
    <w:p w14:paraId="3D93CA1F" w14:textId="77777777" w:rsidR="001D4E0F" w:rsidRDefault="00D52047" w:rsidP="001D4E0F">
      <w:pPr>
        <w:pStyle w:val="Heading2"/>
      </w:pPr>
      <w:bookmarkStart w:id="1" w:name="investigation_recording_form"/>
      <w:bookmarkEnd w:id="1"/>
      <w:r>
        <w:t>Overall Summary</w:t>
      </w:r>
      <w:r w:rsidR="001D4E0F">
        <w:t>:</w:t>
      </w:r>
    </w:p>
    <w:p w14:paraId="69BDCDD8" w14:textId="77777777" w:rsidR="003B6846" w:rsidRPr="002609EA" w:rsidRDefault="00204A71" w:rsidP="003B6846">
      <w:pPr>
        <w:pStyle w:val="Humber-Heading1"/>
        <w:rPr>
          <w:sz w:val="22"/>
        </w:rPr>
      </w:pPr>
      <w:r>
        <w:t>Project</w:t>
      </w:r>
      <w:r w:rsidR="003B6846">
        <w:t xml:space="preserve"> details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7"/>
        <w:gridCol w:w="6059"/>
      </w:tblGrid>
      <w:tr w:rsidR="003B6846" w14:paraId="2F906D00" w14:textId="77777777" w:rsidTr="008B15BB">
        <w:tc>
          <w:tcPr>
            <w:tcW w:w="3227" w:type="dxa"/>
          </w:tcPr>
          <w:p w14:paraId="318EB55B" w14:textId="77777777" w:rsidR="003B6846" w:rsidRPr="008B15BB" w:rsidRDefault="005E0992" w:rsidP="00BA2FE1">
            <w:pPr>
              <w:pStyle w:val="Tabletext"/>
              <w:rPr>
                <w:b/>
              </w:rPr>
            </w:pPr>
            <w:r w:rsidRPr="008B15BB">
              <w:rPr>
                <w:b/>
              </w:rPr>
              <w:t>Project name:</w:t>
            </w:r>
          </w:p>
        </w:tc>
        <w:tc>
          <w:tcPr>
            <w:tcW w:w="6059" w:type="dxa"/>
          </w:tcPr>
          <w:p w14:paraId="4AD02E63" w14:textId="77777777" w:rsidR="003B6846" w:rsidRPr="00B50C7E" w:rsidRDefault="00656A06" w:rsidP="00BA2FE1">
            <w:pPr>
              <w:pStyle w:val="Tabletext"/>
            </w:pPr>
            <w:r>
              <w:t>Barney Craig – River West Allen</w:t>
            </w:r>
          </w:p>
        </w:tc>
      </w:tr>
      <w:tr w:rsidR="009972BE" w:rsidRPr="008B15BB" w14:paraId="60F03C16" w14:textId="77777777" w:rsidTr="008B15BB">
        <w:tc>
          <w:tcPr>
            <w:tcW w:w="3227" w:type="dxa"/>
          </w:tcPr>
          <w:p w14:paraId="52B25517" w14:textId="77777777" w:rsidR="009972BE" w:rsidRPr="008B15BB" w:rsidRDefault="009972BE" w:rsidP="00BA2FE1">
            <w:pPr>
              <w:pStyle w:val="Tabletext"/>
              <w:rPr>
                <w:b/>
              </w:rPr>
            </w:pPr>
            <w:r w:rsidRPr="008B15BB">
              <w:rPr>
                <w:b/>
              </w:rPr>
              <w:t>Contact name:</w:t>
            </w:r>
          </w:p>
        </w:tc>
        <w:tc>
          <w:tcPr>
            <w:tcW w:w="6059" w:type="dxa"/>
          </w:tcPr>
          <w:p w14:paraId="1E77471F" w14:textId="77777777" w:rsidR="009972BE" w:rsidRPr="00D55023" w:rsidRDefault="00656A06" w:rsidP="004E1013">
            <w:pPr>
              <w:pStyle w:val="Tabletext"/>
            </w:pPr>
            <w:r>
              <w:t>Andrew Edwards</w:t>
            </w:r>
          </w:p>
        </w:tc>
      </w:tr>
      <w:tr w:rsidR="009972BE" w:rsidRPr="008B15BB" w14:paraId="57726857" w14:textId="77777777" w:rsidTr="008B15BB">
        <w:tc>
          <w:tcPr>
            <w:tcW w:w="3227" w:type="dxa"/>
          </w:tcPr>
          <w:p w14:paraId="7B3E114C" w14:textId="77777777" w:rsidR="009972BE" w:rsidRPr="008B15BB" w:rsidRDefault="009972BE" w:rsidP="00BA2FE1">
            <w:pPr>
              <w:pStyle w:val="Tabletext"/>
              <w:rPr>
                <w:b/>
              </w:rPr>
            </w:pPr>
            <w:r w:rsidRPr="008B15BB">
              <w:rPr>
                <w:b/>
              </w:rPr>
              <w:t>Contact team:</w:t>
            </w:r>
          </w:p>
        </w:tc>
        <w:tc>
          <w:tcPr>
            <w:tcW w:w="6059" w:type="dxa"/>
          </w:tcPr>
          <w:p w14:paraId="172A93BD" w14:textId="77777777" w:rsidR="009972BE" w:rsidRPr="00D55023" w:rsidRDefault="00656A06" w:rsidP="004E1013">
            <w:pPr>
              <w:pStyle w:val="Tabletext"/>
            </w:pPr>
            <w:r>
              <w:t>Environment Management Wear and Tees</w:t>
            </w:r>
          </w:p>
        </w:tc>
      </w:tr>
      <w:tr w:rsidR="009972BE" w:rsidRPr="008B15BB" w14:paraId="3571A84F" w14:textId="77777777" w:rsidTr="008B15BB">
        <w:tc>
          <w:tcPr>
            <w:tcW w:w="3227" w:type="dxa"/>
          </w:tcPr>
          <w:p w14:paraId="5B19B1AA" w14:textId="77777777" w:rsidR="009972BE" w:rsidRPr="008B15BB" w:rsidRDefault="009972BE" w:rsidP="00BA2FE1">
            <w:pPr>
              <w:pStyle w:val="Tabletext"/>
              <w:rPr>
                <w:b/>
              </w:rPr>
            </w:pPr>
            <w:r w:rsidRPr="008B15BB">
              <w:rPr>
                <w:b/>
              </w:rPr>
              <w:t>Area Environment Manager:</w:t>
            </w:r>
          </w:p>
        </w:tc>
        <w:tc>
          <w:tcPr>
            <w:tcW w:w="6059" w:type="dxa"/>
          </w:tcPr>
          <w:p w14:paraId="03C19B5B" w14:textId="417C17F4" w:rsidR="009972BE" w:rsidRPr="00D55023" w:rsidRDefault="0026723A" w:rsidP="004E1013">
            <w:pPr>
              <w:pStyle w:val="Tabletext"/>
            </w:pPr>
            <w:r>
              <w:t>Fiona Morris</w:t>
            </w:r>
          </w:p>
        </w:tc>
      </w:tr>
    </w:tbl>
    <w:p w14:paraId="6452A5A8" w14:textId="77777777" w:rsidR="003B6846" w:rsidRPr="00797565" w:rsidRDefault="003B6846" w:rsidP="003B6846">
      <w:pPr>
        <w:pStyle w:val="Humber-Heading1"/>
      </w:pPr>
      <w:r>
        <w:t>Water body summary information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7"/>
        <w:gridCol w:w="6059"/>
      </w:tblGrid>
      <w:tr w:rsidR="003B6846" w14:paraId="3E95B333" w14:textId="77777777" w:rsidTr="008B15BB">
        <w:tc>
          <w:tcPr>
            <w:tcW w:w="3227" w:type="dxa"/>
          </w:tcPr>
          <w:p w14:paraId="51A9F865" w14:textId="77777777" w:rsidR="003B6846" w:rsidRPr="008B15BB" w:rsidRDefault="003B6846" w:rsidP="00BA2FE1">
            <w:pPr>
              <w:pStyle w:val="Tabletext"/>
              <w:rPr>
                <w:b/>
              </w:rPr>
            </w:pPr>
            <w:r w:rsidRPr="008B15BB">
              <w:rPr>
                <w:b/>
              </w:rPr>
              <w:t>Water body name:</w:t>
            </w:r>
          </w:p>
        </w:tc>
        <w:tc>
          <w:tcPr>
            <w:tcW w:w="6059" w:type="dxa"/>
          </w:tcPr>
          <w:p w14:paraId="00AB16C8" w14:textId="77777777" w:rsidR="003B6846" w:rsidRDefault="00656A06" w:rsidP="00656A06">
            <w:pPr>
              <w:pStyle w:val="Tabletext"/>
            </w:pPr>
            <w:r>
              <w:t>River</w:t>
            </w:r>
            <w:r w:rsidR="009A302F">
              <w:t xml:space="preserve"> West</w:t>
            </w:r>
            <w:r>
              <w:t xml:space="preserve"> Allen from Source to Wellhope burn</w:t>
            </w:r>
          </w:p>
        </w:tc>
      </w:tr>
      <w:tr w:rsidR="003B6846" w14:paraId="5ED3D303" w14:textId="77777777" w:rsidTr="008B15BB">
        <w:tc>
          <w:tcPr>
            <w:tcW w:w="3227" w:type="dxa"/>
          </w:tcPr>
          <w:p w14:paraId="10087C61" w14:textId="77777777" w:rsidR="003B6846" w:rsidRPr="008B15BB" w:rsidRDefault="003B6846" w:rsidP="00BA2FE1">
            <w:pPr>
              <w:pStyle w:val="Tabletext"/>
              <w:rPr>
                <w:b/>
              </w:rPr>
            </w:pPr>
            <w:r w:rsidRPr="008B15BB">
              <w:rPr>
                <w:b/>
              </w:rPr>
              <w:t>Water body id:</w:t>
            </w:r>
          </w:p>
        </w:tc>
        <w:tc>
          <w:tcPr>
            <w:tcW w:w="6059" w:type="dxa"/>
          </w:tcPr>
          <w:p w14:paraId="309853CE" w14:textId="77777777" w:rsidR="003B6846" w:rsidRPr="00E95628" w:rsidRDefault="00656A06" w:rsidP="00BA2FE1">
            <w:pPr>
              <w:pStyle w:val="Tabletext"/>
            </w:pPr>
            <w:r>
              <w:t>GB103023074680</w:t>
            </w:r>
          </w:p>
        </w:tc>
      </w:tr>
      <w:tr w:rsidR="003B6846" w14:paraId="0145CFB7" w14:textId="77777777" w:rsidTr="008B15BB">
        <w:tc>
          <w:tcPr>
            <w:tcW w:w="3227" w:type="dxa"/>
          </w:tcPr>
          <w:p w14:paraId="7F52F75F" w14:textId="77777777" w:rsidR="003B6846" w:rsidRPr="008B15BB" w:rsidRDefault="003B6846" w:rsidP="00BA2FE1">
            <w:pPr>
              <w:pStyle w:val="Tabletext"/>
              <w:rPr>
                <w:b/>
              </w:rPr>
            </w:pPr>
            <w:r w:rsidRPr="008B15BB">
              <w:rPr>
                <w:b/>
              </w:rPr>
              <w:t>Water body type:</w:t>
            </w:r>
          </w:p>
        </w:tc>
        <w:tc>
          <w:tcPr>
            <w:tcW w:w="6059" w:type="dxa"/>
          </w:tcPr>
          <w:p w14:paraId="2CE8FD2F" w14:textId="77777777" w:rsidR="003B6846" w:rsidRDefault="00656A06" w:rsidP="00BA2FE1">
            <w:pPr>
              <w:pStyle w:val="Tabletext"/>
            </w:pPr>
            <w:r>
              <w:t>Surface water</w:t>
            </w:r>
          </w:p>
        </w:tc>
      </w:tr>
      <w:tr w:rsidR="003B6846" w14:paraId="646EA1A6" w14:textId="77777777" w:rsidTr="008B15BB">
        <w:tc>
          <w:tcPr>
            <w:tcW w:w="3227" w:type="dxa"/>
          </w:tcPr>
          <w:p w14:paraId="6E3E5893" w14:textId="77777777" w:rsidR="003B6846" w:rsidRPr="008B15BB" w:rsidRDefault="003B6846" w:rsidP="00BA2FE1">
            <w:pPr>
              <w:pStyle w:val="Tabletext"/>
              <w:rPr>
                <w:b/>
              </w:rPr>
            </w:pPr>
            <w:r w:rsidRPr="008B15BB">
              <w:rPr>
                <w:b/>
              </w:rPr>
              <w:t>Catchment:</w:t>
            </w:r>
          </w:p>
        </w:tc>
        <w:tc>
          <w:tcPr>
            <w:tcW w:w="6059" w:type="dxa"/>
          </w:tcPr>
          <w:p w14:paraId="68D8E8FA" w14:textId="77777777" w:rsidR="003B6846" w:rsidRPr="00E95628" w:rsidRDefault="00C44091" w:rsidP="00C44091">
            <w:pPr>
              <w:pStyle w:val="Tabletext"/>
            </w:pPr>
            <w:r>
              <w:t>River Allen</w:t>
            </w:r>
            <w:r w:rsidR="00656A06">
              <w:t xml:space="preserve"> / River</w:t>
            </w:r>
            <w:r>
              <w:t xml:space="preserve"> South Tyne</w:t>
            </w:r>
          </w:p>
        </w:tc>
      </w:tr>
      <w:tr w:rsidR="00B25B92" w14:paraId="7EAAD73B" w14:textId="77777777" w:rsidTr="008B15BB">
        <w:tc>
          <w:tcPr>
            <w:tcW w:w="3227" w:type="dxa"/>
          </w:tcPr>
          <w:p w14:paraId="033C4D8D" w14:textId="77777777" w:rsidR="00B25B92" w:rsidRPr="008B15BB" w:rsidRDefault="00B25B92" w:rsidP="000A61C7">
            <w:pPr>
              <w:pStyle w:val="Tabletext"/>
              <w:rPr>
                <w:b/>
              </w:rPr>
            </w:pPr>
            <w:r w:rsidRPr="008B15BB">
              <w:rPr>
                <w:b/>
              </w:rPr>
              <w:t>RBP Measure</w:t>
            </w:r>
          </w:p>
        </w:tc>
        <w:tc>
          <w:tcPr>
            <w:tcW w:w="6059" w:type="dxa"/>
          </w:tcPr>
          <w:p w14:paraId="3B77D172" w14:textId="77777777" w:rsidR="00B25B92" w:rsidRPr="00E23B92" w:rsidRDefault="00656A06" w:rsidP="000A61C7">
            <w:pPr>
              <w:pStyle w:val="Tabletext"/>
            </w:pPr>
            <w:r>
              <w:t>Mine water treatment</w:t>
            </w:r>
          </w:p>
        </w:tc>
      </w:tr>
      <w:tr w:rsidR="00B94D6B" w14:paraId="42A70F89" w14:textId="77777777" w:rsidTr="008B15BB">
        <w:tc>
          <w:tcPr>
            <w:tcW w:w="3227" w:type="dxa"/>
          </w:tcPr>
          <w:p w14:paraId="7B0FFAF3" w14:textId="77777777" w:rsidR="00B94D6B" w:rsidRPr="008B15BB" w:rsidRDefault="00B94D6B" w:rsidP="000A61C7">
            <w:pPr>
              <w:pStyle w:val="Tabletext"/>
              <w:rPr>
                <w:b/>
              </w:rPr>
            </w:pPr>
            <w:r>
              <w:rPr>
                <w:b/>
              </w:rPr>
              <w:t>RFF database</w:t>
            </w:r>
          </w:p>
        </w:tc>
        <w:tc>
          <w:tcPr>
            <w:tcW w:w="6059" w:type="dxa"/>
          </w:tcPr>
          <w:p w14:paraId="2F1B3AAF" w14:textId="77777777" w:rsidR="00B94D6B" w:rsidRPr="00E23B92" w:rsidRDefault="00F267C8" w:rsidP="000A61C7">
            <w:pPr>
              <w:pStyle w:val="Tabletext"/>
            </w:pPr>
            <w:r>
              <w:t>Zinc, Cadmium</w:t>
            </w:r>
          </w:p>
        </w:tc>
      </w:tr>
      <w:tr w:rsidR="00B25B92" w14:paraId="14FB1F76" w14:textId="77777777" w:rsidTr="008B15BB">
        <w:tc>
          <w:tcPr>
            <w:tcW w:w="3227" w:type="dxa"/>
          </w:tcPr>
          <w:p w14:paraId="1E0BCAF2" w14:textId="77777777" w:rsidR="00B25B92" w:rsidRPr="008B15BB" w:rsidRDefault="00B25B92" w:rsidP="000A61C7">
            <w:pPr>
              <w:pStyle w:val="Tabletext"/>
              <w:rPr>
                <w:b/>
              </w:rPr>
            </w:pPr>
            <w:r w:rsidRPr="008B15BB">
              <w:rPr>
                <w:b/>
              </w:rPr>
              <w:t>Related catchments</w:t>
            </w:r>
          </w:p>
        </w:tc>
        <w:tc>
          <w:tcPr>
            <w:tcW w:w="6059" w:type="dxa"/>
          </w:tcPr>
          <w:p w14:paraId="45756707" w14:textId="77777777" w:rsidR="00B25B92" w:rsidRDefault="009E410C" w:rsidP="008F3FFF">
            <w:pPr>
              <w:pStyle w:val="Tabletext"/>
              <w:numPr>
                <w:ilvl w:val="0"/>
                <w:numId w:val="23"/>
              </w:numPr>
            </w:pPr>
            <w:r>
              <w:t>GB103023074700 – West Allen from Wellhope burn to Allen</w:t>
            </w:r>
          </w:p>
          <w:p w14:paraId="43FE4B76" w14:textId="50AFC122" w:rsidR="008F3FFF" w:rsidRDefault="009E410C" w:rsidP="008F3FFF">
            <w:pPr>
              <w:pStyle w:val="Tabletext"/>
              <w:numPr>
                <w:ilvl w:val="0"/>
                <w:numId w:val="23"/>
              </w:numPr>
            </w:pPr>
            <w:r>
              <w:t xml:space="preserve">GB103023074720 – Allen from West Allen to </w:t>
            </w:r>
            <w:r w:rsidR="0026723A">
              <w:t xml:space="preserve">South </w:t>
            </w:r>
            <w:r>
              <w:t>Tyne</w:t>
            </w:r>
          </w:p>
          <w:p w14:paraId="0DA1D87E" w14:textId="77777777" w:rsidR="009E410C" w:rsidRPr="00AC5CDD" w:rsidRDefault="009E410C" w:rsidP="008F3FFF">
            <w:pPr>
              <w:pStyle w:val="Tabletext"/>
              <w:numPr>
                <w:ilvl w:val="0"/>
                <w:numId w:val="23"/>
              </w:numPr>
            </w:pPr>
            <w:r>
              <w:t>GB103023075710 – South Tyne from Allen to North Tyne</w:t>
            </w:r>
          </w:p>
        </w:tc>
      </w:tr>
    </w:tbl>
    <w:p w14:paraId="00F2A280" w14:textId="77777777" w:rsidR="003B6846" w:rsidRDefault="003B6846" w:rsidP="003B6846">
      <w:pPr>
        <w:pStyle w:val="Humber-Heading1"/>
      </w:pPr>
      <w:r>
        <w:t>Water body classification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7"/>
        <w:gridCol w:w="2051"/>
        <w:gridCol w:w="2077"/>
        <w:gridCol w:w="2281"/>
      </w:tblGrid>
      <w:tr w:rsidR="00861296" w:rsidRPr="007753AC" w14:paraId="18FB214B" w14:textId="77777777" w:rsidTr="00861296">
        <w:tc>
          <w:tcPr>
            <w:tcW w:w="2877" w:type="dxa"/>
            <w:tcBorders>
              <w:top w:val="single" w:sz="4" w:space="0" w:color="auto"/>
              <w:left w:val="single" w:sz="4" w:space="0" w:color="auto"/>
              <w:bottom w:val="single" w:sz="4" w:space="0" w:color="auto"/>
              <w:right w:val="single" w:sz="4" w:space="0" w:color="auto"/>
            </w:tcBorders>
            <w:shd w:val="clear" w:color="auto" w:fill="auto"/>
          </w:tcPr>
          <w:p w14:paraId="7750B78D" w14:textId="77777777" w:rsidR="00861296" w:rsidRPr="007753AC" w:rsidRDefault="00861296" w:rsidP="007753AC">
            <w:pPr>
              <w:pStyle w:val="Tabletext"/>
              <w:rPr>
                <w:b/>
              </w:rPr>
            </w:pPr>
            <w:r w:rsidRPr="007753AC">
              <w:rPr>
                <w:b/>
              </w:rPr>
              <w:t>Surface water body classification</w:t>
            </w:r>
          </w:p>
        </w:tc>
        <w:tc>
          <w:tcPr>
            <w:tcW w:w="2051" w:type="dxa"/>
            <w:tcBorders>
              <w:top w:val="single" w:sz="4" w:space="0" w:color="auto"/>
              <w:left w:val="single" w:sz="4" w:space="0" w:color="auto"/>
              <w:right w:val="single" w:sz="4" w:space="0" w:color="auto"/>
            </w:tcBorders>
            <w:shd w:val="clear" w:color="auto" w:fill="auto"/>
          </w:tcPr>
          <w:p w14:paraId="6E9E9F1F" w14:textId="77777777" w:rsidR="00861296" w:rsidRPr="007753AC" w:rsidRDefault="00861296" w:rsidP="007753AC">
            <w:pPr>
              <w:pStyle w:val="Tabletext"/>
              <w:rPr>
                <w:b/>
              </w:rPr>
            </w:pPr>
            <w:r w:rsidRPr="007753AC">
              <w:rPr>
                <w:b/>
              </w:rPr>
              <w:t xml:space="preserve">Status </w:t>
            </w:r>
            <w:r>
              <w:rPr>
                <w:b/>
              </w:rPr>
              <w:t>(</w:t>
            </w:r>
            <w:r w:rsidRPr="007753AC">
              <w:rPr>
                <w:b/>
              </w:rPr>
              <w:t>2009</w:t>
            </w:r>
            <w:r>
              <w:rPr>
                <w:b/>
              </w:rPr>
              <w:t>)</w:t>
            </w:r>
          </w:p>
          <w:p w14:paraId="564B5A3A" w14:textId="77777777" w:rsidR="00861296" w:rsidRPr="007753AC" w:rsidRDefault="00861296" w:rsidP="003B71B7">
            <w:pPr>
              <w:pStyle w:val="Tabletext"/>
              <w:rPr>
                <w:b/>
              </w:rPr>
            </w:pPr>
          </w:p>
        </w:tc>
        <w:tc>
          <w:tcPr>
            <w:tcW w:w="2077" w:type="dxa"/>
            <w:tcBorders>
              <w:top w:val="single" w:sz="4" w:space="0" w:color="auto"/>
              <w:left w:val="single" w:sz="4" w:space="0" w:color="auto"/>
              <w:right w:val="single" w:sz="4" w:space="0" w:color="auto"/>
            </w:tcBorders>
          </w:tcPr>
          <w:p w14:paraId="23D1478D" w14:textId="77777777" w:rsidR="00861296" w:rsidRDefault="00861296" w:rsidP="00745C3C">
            <w:pPr>
              <w:pStyle w:val="Tabletext"/>
              <w:rPr>
                <w:b/>
              </w:rPr>
            </w:pPr>
            <w:r>
              <w:rPr>
                <w:b/>
              </w:rPr>
              <w:t xml:space="preserve">Status </w:t>
            </w:r>
            <w:commentRangeStart w:id="2"/>
            <w:r>
              <w:rPr>
                <w:b/>
              </w:rPr>
              <w:t>(</w:t>
            </w:r>
            <w:r w:rsidR="00F267C8">
              <w:rPr>
                <w:b/>
              </w:rPr>
              <w:t>201</w:t>
            </w:r>
            <w:r w:rsidR="00745C3C">
              <w:rPr>
                <w:b/>
              </w:rPr>
              <w:t>5</w:t>
            </w:r>
            <w:r>
              <w:rPr>
                <w:b/>
              </w:rPr>
              <w:t>)</w:t>
            </w:r>
            <w:commentRangeEnd w:id="2"/>
            <w:r>
              <w:rPr>
                <w:rStyle w:val="CommentReference"/>
              </w:rPr>
              <w:commentReference w:id="2"/>
            </w:r>
          </w:p>
        </w:tc>
        <w:tc>
          <w:tcPr>
            <w:tcW w:w="2281" w:type="dxa"/>
            <w:tcBorders>
              <w:top w:val="single" w:sz="4" w:space="0" w:color="auto"/>
              <w:left w:val="single" w:sz="4" w:space="0" w:color="auto"/>
              <w:right w:val="single" w:sz="4" w:space="0" w:color="auto"/>
            </w:tcBorders>
            <w:shd w:val="clear" w:color="auto" w:fill="auto"/>
          </w:tcPr>
          <w:p w14:paraId="2EB2B5F4" w14:textId="77777777" w:rsidR="00861296" w:rsidRPr="007753AC" w:rsidRDefault="00861296" w:rsidP="003B71B7">
            <w:pPr>
              <w:pStyle w:val="Tabletext"/>
              <w:rPr>
                <w:b/>
              </w:rPr>
            </w:pPr>
            <w:r>
              <w:rPr>
                <w:b/>
              </w:rPr>
              <w:t>Elements failing</w:t>
            </w:r>
          </w:p>
        </w:tc>
      </w:tr>
      <w:tr w:rsidR="00861296" w:rsidRPr="00FE2414" w14:paraId="325E687E" w14:textId="77777777" w:rsidTr="00861296">
        <w:tc>
          <w:tcPr>
            <w:tcW w:w="2877" w:type="dxa"/>
            <w:tcBorders>
              <w:top w:val="single" w:sz="4" w:space="0" w:color="auto"/>
              <w:left w:val="single" w:sz="4" w:space="0" w:color="auto"/>
              <w:bottom w:val="single" w:sz="4" w:space="0" w:color="auto"/>
              <w:right w:val="single" w:sz="4" w:space="0" w:color="auto"/>
            </w:tcBorders>
            <w:shd w:val="clear" w:color="auto" w:fill="auto"/>
          </w:tcPr>
          <w:p w14:paraId="7538F0F1" w14:textId="77777777" w:rsidR="00861296" w:rsidRPr="007753AC" w:rsidRDefault="00861296" w:rsidP="003B71B7">
            <w:pPr>
              <w:pStyle w:val="Tabletext"/>
              <w:rPr>
                <w:b/>
              </w:rPr>
            </w:pPr>
            <w:r w:rsidRPr="007753AC">
              <w:rPr>
                <w:b/>
              </w:rPr>
              <w:t>Ecological Status</w:t>
            </w:r>
          </w:p>
        </w:tc>
        <w:tc>
          <w:tcPr>
            <w:tcW w:w="2051" w:type="dxa"/>
            <w:tcBorders>
              <w:left w:val="single" w:sz="4" w:space="0" w:color="auto"/>
              <w:right w:val="single" w:sz="4" w:space="0" w:color="auto"/>
            </w:tcBorders>
            <w:shd w:val="clear" w:color="auto" w:fill="auto"/>
          </w:tcPr>
          <w:p w14:paraId="24803E52" w14:textId="77777777" w:rsidR="00861296" w:rsidRPr="007753AC" w:rsidRDefault="00F267C8" w:rsidP="003B71B7">
            <w:pPr>
              <w:pStyle w:val="Tabletext"/>
            </w:pPr>
            <w:r>
              <w:t>Moderate</w:t>
            </w:r>
          </w:p>
        </w:tc>
        <w:tc>
          <w:tcPr>
            <w:tcW w:w="2077" w:type="dxa"/>
            <w:tcBorders>
              <w:left w:val="single" w:sz="4" w:space="0" w:color="auto"/>
              <w:right w:val="single" w:sz="4" w:space="0" w:color="auto"/>
            </w:tcBorders>
          </w:tcPr>
          <w:p w14:paraId="66E39180" w14:textId="121052B8" w:rsidR="00861296" w:rsidRPr="007753AC" w:rsidRDefault="0026723A" w:rsidP="003B71B7">
            <w:pPr>
              <w:pStyle w:val="Tabletext"/>
            </w:pPr>
            <w:r>
              <w:t>Good</w:t>
            </w:r>
          </w:p>
        </w:tc>
        <w:tc>
          <w:tcPr>
            <w:tcW w:w="2281" w:type="dxa"/>
            <w:tcBorders>
              <w:left w:val="single" w:sz="4" w:space="0" w:color="auto"/>
              <w:right w:val="single" w:sz="4" w:space="0" w:color="auto"/>
            </w:tcBorders>
            <w:shd w:val="clear" w:color="auto" w:fill="auto"/>
          </w:tcPr>
          <w:p w14:paraId="4351C0CE" w14:textId="5F364BE7" w:rsidR="00861296" w:rsidRPr="007753AC" w:rsidRDefault="00861296" w:rsidP="0026723A">
            <w:pPr>
              <w:pStyle w:val="Tabletext"/>
            </w:pPr>
          </w:p>
        </w:tc>
      </w:tr>
      <w:tr w:rsidR="00861296" w:rsidRPr="00FE2414" w14:paraId="2A078F23" w14:textId="77777777" w:rsidTr="00861296">
        <w:tc>
          <w:tcPr>
            <w:tcW w:w="2877" w:type="dxa"/>
            <w:tcBorders>
              <w:top w:val="single" w:sz="4" w:space="0" w:color="auto"/>
              <w:left w:val="single" w:sz="4" w:space="0" w:color="auto"/>
              <w:bottom w:val="single" w:sz="4" w:space="0" w:color="auto"/>
              <w:right w:val="single" w:sz="4" w:space="0" w:color="auto"/>
            </w:tcBorders>
            <w:shd w:val="clear" w:color="auto" w:fill="auto"/>
          </w:tcPr>
          <w:p w14:paraId="6ADB7274" w14:textId="77777777" w:rsidR="00861296" w:rsidRPr="007753AC" w:rsidRDefault="00861296" w:rsidP="003B71B7">
            <w:pPr>
              <w:pStyle w:val="Tabletext"/>
              <w:rPr>
                <w:b/>
              </w:rPr>
            </w:pPr>
            <w:r w:rsidRPr="007753AC">
              <w:rPr>
                <w:b/>
              </w:rPr>
              <w:t>Biological Status</w:t>
            </w:r>
          </w:p>
        </w:tc>
        <w:tc>
          <w:tcPr>
            <w:tcW w:w="2051" w:type="dxa"/>
            <w:tcBorders>
              <w:left w:val="single" w:sz="4" w:space="0" w:color="auto"/>
              <w:right w:val="single" w:sz="4" w:space="0" w:color="auto"/>
            </w:tcBorders>
            <w:shd w:val="clear" w:color="auto" w:fill="auto"/>
          </w:tcPr>
          <w:p w14:paraId="7FC2AD52" w14:textId="77777777" w:rsidR="00861296" w:rsidRPr="007753AC" w:rsidRDefault="00F267C8" w:rsidP="003B71B7">
            <w:pPr>
              <w:pStyle w:val="Tabletext"/>
            </w:pPr>
            <w:r>
              <w:t>Moderate</w:t>
            </w:r>
          </w:p>
        </w:tc>
        <w:tc>
          <w:tcPr>
            <w:tcW w:w="2077" w:type="dxa"/>
            <w:tcBorders>
              <w:left w:val="single" w:sz="4" w:space="0" w:color="auto"/>
              <w:right w:val="single" w:sz="4" w:space="0" w:color="auto"/>
            </w:tcBorders>
          </w:tcPr>
          <w:p w14:paraId="6A801341" w14:textId="77777777" w:rsidR="00861296" w:rsidRPr="007753AC" w:rsidRDefault="00F267C8" w:rsidP="003B71B7">
            <w:pPr>
              <w:pStyle w:val="Tabletext"/>
            </w:pPr>
            <w:r>
              <w:t>High</w:t>
            </w:r>
          </w:p>
        </w:tc>
        <w:tc>
          <w:tcPr>
            <w:tcW w:w="2281" w:type="dxa"/>
            <w:tcBorders>
              <w:left w:val="single" w:sz="4" w:space="0" w:color="auto"/>
              <w:right w:val="single" w:sz="4" w:space="0" w:color="auto"/>
            </w:tcBorders>
            <w:shd w:val="clear" w:color="auto" w:fill="auto"/>
          </w:tcPr>
          <w:p w14:paraId="4E6F972E" w14:textId="77777777" w:rsidR="00861296" w:rsidRPr="007753AC" w:rsidRDefault="00F267C8" w:rsidP="003B71B7">
            <w:pPr>
              <w:pStyle w:val="Tabletext"/>
            </w:pPr>
            <w:r>
              <w:t>Fish(2009)</w:t>
            </w:r>
          </w:p>
        </w:tc>
      </w:tr>
      <w:tr w:rsidR="00861296" w:rsidRPr="00FE2414" w14:paraId="1305287B" w14:textId="77777777" w:rsidTr="00861296">
        <w:tc>
          <w:tcPr>
            <w:tcW w:w="2877" w:type="dxa"/>
            <w:tcBorders>
              <w:top w:val="single" w:sz="4" w:space="0" w:color="auto"/>
              <w:left w:val="single" w:sz="4" w:space="0" w:color="auto"/>
              <w:bottom w:val="single" w:sz="4" w:space="0" w:color="auto"/>
              <w:right w:val="single" w:sz="4" w:space="0" w:color="auto"/>
            </w:tcBorders>
            <w:shd w:val="clear" w:color="auto" w:fill="auto"/>
          </w:tcPr>
          <w:p w14:paraId="7F0AF9DE" w14:textId="77777777" w:rsidR="00861296" w:rsidRPr="007753AC" w:rsidRDefault="00861296" w:rsidP="00861296">
            <w:pPr>
              <w:pStyle w:val="Tabletext"/>
              <w:rPr>
                <w:b/>
              </w:rPr>
            </w:pPr>
            <w:r w:rsidRPr="007753AC">
              <w:rPr>
                <w:b/>
              </w:rPr>
              <w:t>Specific Pollutants</w:t>
            </w:r>
          </w:p>
        </w:tc>
        <w:tc>
          <w:tcPr>
            <w:tcW w:w="2051" w:type="dxa"/>
            <w:tcBorders>
              <w:left w:val="single" w:sz="4" w:space="0" w:color="auto"/>
              <w:right w:val="single" w:sz="4" w:space="0" w:color="auto"/>
            </w:tcBorders>
            <w:shd w:val="clear" w:color="auto" w:fill="auto"/>
          </w:tcPr>
          <w:p w14:paraId="6320B6C7" w14:textId="77777777" w:rsidR="00861296" w:rsidRPr="007753AC" w:rsidRDefault="00F267C8" w:rsidP="003B71B7">
            <w:pPr>
              <w:pStyle w:val="Tabletext"/>
            </w:pPr>
            <w:r>
              <w:t>Moderate</w:t>
            </w:r>
          </w:p>
        </w:tc>
        <w:tc>
          <w:tcPr>
            <w:tcW w:w="2077" w:type="dxa"/>
            <w:tcBorders>
              <w:left w:val="single" w:sz="4" w:space="0" w:color="auto"/>
              <w:right w:val="single" w:sz="4" w:space="0" w:color="auto"/>
            </w:tcBorders>
          </w:tcPr>
          <w:p w14:paraId="7910D751" w14:textId="77777777" w:rsidR="00861296" w:rsidRPr="007753AC" w:rsidRDefault="00745C3C" w:rsidP="003B71B7">
            <w:pPr>
              <w:pStyle w:val="Tabletext"/>
            </w:pPr>
            <w:r>
              <w:t>Fail</w:t>
            </w:r>
          </w:p>
        </w:tc>
        <w:tc>
          <w:tcPr>
            <w:tcW w:w="2281" w:type="dxa"/>
            <w:tcBorders>
              <w:left w:val="single" w:sz="4" w:space="0" w:color="auto"/>
              <w:right w:val="single" w:sz="4" w:space="0" w:color="auto"/>
            </w:tcBorders>
            <w:shd w:val="clear" w:color="auto" w:fill="auto"/>
          </w:tcPr>
          <w:p w14:paraId="16213544" w14:textId="77777777" w:rsidR="00861296" w:rsidRPr="007753AC" w:rsidRDefault="00745C3C" w:rsidP="003B71B7">
            <w:pPr>
              <w:pStyle w:val="Tabletext"/>
            </w:pPr>
            <w:r>
              <w:t>Zinc (2009+2015</w:t>
            </w:r>
            <w:r w:rsidR="00F267C8">
              <w:t>)</w:t>
            </w:r>
          </w:p>
        </w:tc>
      </w:tr>
      <w:tr w:rsidR="00861296" w:rsidRPr="00FE2414" w14:paraId="2544A87A" w14:textId="77777777" w:rsidTr="00861296">
        <w:tc>
          <w:tcPr>
            <w:tcW w:w="2877" w:type="dxa"/>
            <w:tcBorders>
              <w:top w:val="single" w:sz="4" w:space="0" w:color="auto"/>
              <w:left w:val="single" w:sz="4" w:space="0" w:color="auto"/>
              <w:bottom w:val="single" w:sz="4" w:space="0" w:color="auto"/>
              <w:right w:val="single" w:sz="4" w:space="0" w:color="auto"/>
            </w:tcBorders>
            <w:shd w:val="clear" w:color="auto" w:fill="auto"/>
          </w:tcPr>
          <w:p w14:paraId="47EEA1B1" w14:textId="77777777" w:rsidR="00861296" w:rsidRPr="007753AC" w:rsidRDefault="00861296" w:rsidP="003B71B7">
            <w:pPr>
              <w:pStyle w:val="Tabletext"/>
              <w:rPr>
                <w:b/>
              </w:rPr>
            </w:pPr>
            <w:r w:rsidRPr="007753AC">
              <w:rPr>
                <w:b/>
              </w:rPr>
              <w:t>Chemical Status</w:t>
            </w:r>
          </w:p>
        </w:tc>
        <w:tc>
          <w:tcPr>
            <w:tcW w:w="2051" w:type="dxa"/>
            <w:tcBorders>
              <w:left w:val="single" w:sz="4" w:space="0" w:color="auto"/>
              <w:bottom w:val="single" w:sz="4" w:space="0" w:color="auto"/>
              <w:right w:val="single" w:sz="4" w:space="0" w:color="auto"/>
            </w:tcBorders>
            <w:shd w:val="clear" w:color="auto" w:fill="auto"/>
          </w:tcPr>
          <w:p w14:paraId="28BDE72F" w14:textId="77777777" w:rsidR="00861296" w:rsidRPr="007753AC" w:rsidRDefault="00F267C8" w:rsidP="003B71B7">
            <w:pPr>
              <w:pStyle w:val="Tabletext"/>
            </w:pPr>
            <w:r>
              <w:t>DNRA</w:t>
            </w:r>
          </w:p>
        </w:tc>
        <w:tc>
          <w:tcPr>
            <w:tcW w:w="2077" w:type="dxa"/>
            <w:tcBorders>
              <w:left w:val="single" w:sz="4" w:space="0" w:color="auto"/>
              <w:bottom w:val="single" w:sz="4" w:space="0" w:color="auto"/>
              <w:right w:val="single" w:sz="4" w:space="0" w:color="auto"/>
            </w:tcBorders>
          </w:tcPr>
          <w:p w14:paraId="185AAE6C" w14:textId="77777777" w:rsidR="00861296" w:rsidRPr="007753AC" w:rsidRDefault="00745C3C" w:rsidP="003B71B7">
            <w:pPr>
              <w:pStyle w:val="Tabletext"/>
            </w:pPr>
            <w:r>
              <w:t>Moderate</w:t>
            </w:r>
          </w:p>
        </w:tc>
        <w:tc>
          <w:tcPr>
            <w:tcW w:w="2281" w:type="dxa"/>
            <w:tcBorders>
              <w:left w:val="single" w:sz="4" w:space="0" w:color="auto"/>
              <w:bottom w:val="single" w:sz="4" w:space="0" w:color="auto"/>
              <w:right w:val="single" w:sz="4" w:space="0" w:color="auto"/>
            </w:tcBorders>
            <w:shd w:val="clear" w:color="auto" w:fill="auto"/>
          </w:tcPr>
          <w:p w14:paraId="69E22F7C" w14:textId="77777777" w:rsidR="00861296" w:rsidRPr="007753AC" w:rsidRDefault="00F267C8" w:rsidP="003B71B7">
            <w:pPr>
              <w:pStyle w:val="Tabletext"/>
            </w:pPr>
            <w:r>
              <w:t>Cadmium</w:t>
            </w:r>
            <w:r w:rsidR="00745C3C">
              <w:t>, Lead</w:t>
            </w:r>
          </w:p>
        </w:tc>
      </w:tr>
      <w:tr w:rsidR="00861296" w:rsidRPr="007753AC" w14:paraId="72B9B6F5" w14:textId="77777777" w:rsidTr="00861296">
        <w:tc>
          <w:tcPr>
            <w:tcW w:w="2877" w:type="dxa"/>
            <w:vMerge w:val="restart"/>
          </w:tcPr>
          <w:p w14:paraId="56001088" w14:textId="77777777" w:rsidR="00861296" w:rsidRDefault="00861296" w:rsidP="00D3431E">
            <w:pPr>
              <w:pStyle w:val="Tabletext"/>
              <w:rPr>
                <w:b/>
              </w:rPr>
            </w:pPr>
          </w:p>
          <w:p w14:paraId="5B8724CB" w14:textId="77777777" w:rsidR="00861296" w:rsidRPr="007753AC" w:rsidRDefault="00861296" w:rsidP="00D3431E">
            <w:pPr>
              <w:pStyle w:val="Tabletext"/>
              <w:rPr>
                <w:b/>
              </w:rPr>
            </w:pPr>
            <w:r w:rsidRPr="007753AC">
              <w:rPr>
                <w:b/>
              </w:rPr>
              <w:t>Groundwater Body</w:t>
            </w:r>
          </w:p>
        </w:tc>
        <w:tc>
          <w:tcPr>
            <w:tcW w:w="2051" w:type="dxa"/>
          </w:tcPr>
          <w:p w14:paraId="6A9B7575" w14:textId="77777777" w:rsidR="00861296" w:rsidRPr="007753AC" w:rsidRDefault="00861296" w:rsidP="00BA2FE1">
            <w:pPr>
              <w:pStyle w:val="Tabletext"/>
              <w:rPr>
                <w:b/>
              </w:rPr>
            </w:pPr>
            <w:r w:rsidRPr="007753AC">
              <w:rPr>
                <w:b/>
              </w:rPr>
              <w:t>Name/ID</w:t>
            </w:r>
          </w:p>
        </w:tc>
        <w:tc>
          <w:tcPr>
            <w:tcW w:w="2077" w:type="dxa"/>
          </w:tcPr>
          <w:p w14:paraId="68F5F10D" w14:textId="77777777" w:rsidR="00861296" w:rsidRPr="007753AC" w:rsidRDefault="00861296" w:rsidP="00BA2FE1">
            <w:pPr>
              <w:pStyle w:val="Tabletext"/>
              <w:rPr>
                <w:b/>
              </w:rPr>
            </w:pPr>
            <w:r w:rsidRPr="007753AC">
              <w:rPr>
                <w:b/>
              </w:rPr>
              <w:t>Status</w:t>
            </w:r>
          </w:p>
        </w:tc>
        <w:tc>
          <w:tcPr>
            <w:tcW w:w="2281" w:type="dxa"/>
          </w:tcPr>
          <w:p w14:paraId="3E2D80F9" w14:textId="77777777" w:rsidR="00861296" w:rsidRPr="007753AC" w:rsidRDefault="00861296" w:rsidP="00BA2FE1">
            <w:pPr>
              <w:pStyle w:val="Tabletext"/>
              <w:rPr>
                <w:b/>
              </w:rPr>
            </w:pPr>
            <w:r>
              <w:rPr>
                <w:b/>
              </w:rPr>
              <w:t>Elements failing</w:t>
            </w:r>
          </w:p>
        </w:tc>
      </w:tr>
      <w:tr w:rsidR="00861296" w14:paraId="46C4E8C1" w14:textId="77777777" w:rsidTr="00861296">
        <w:tc>
          <w:tcPr>
            <w:tcW w:w="2877" w:type="dxa"/>
            <w:vMerge/>
          </w:tcPr>
          <w:p w14:paraId="59ACC16D" w14:textId="77777777" w:rsidR="00861296" w:rsidRDefault="00861296" w:rsidP="00D3431E">
            <w:pPr>
              <w:pStyle w:val="Tabletext"/>
              <w:rPr>
                <w:b/>
              </w:rPr>
            </w:pPr>
          </w:p>
        </w:tc>
        <w:tc>
          <w:tcPr>
            <w:tcW w:w="2051" w:type="dxa"/>
          </w:tcPr>
          <w:p w14:paraId="53854624" w14:textId="77777777" w:rsidR="00861296" w:rsidRDefault="00F267C8" w:rsidP="00BA2FE1">
            <w:pPr>
              <w:pStyle w:val="Tabletext"/>
            </w:pPr>
            <w:r>
              <w:t>Tyne Carboniferous Limestone and Coal Measures / GB40302G701500</w:t>
            </w:r>
          </w:p>
        </w:tc>
        <w:tc>
          <w:tcPr>
            <w:tcW w:w="2077" w:type="dxa"/>
          </w:tcPr>
          <w:p w14:paraId="3AE0C139" w14:textId="77777777" w:rsidR="00861296" w:rsidRDefault="00F267C8" w:rsidP="00BA2FE1">
            <w:pPr>
              <w:pStyle w:val="Tabletext"/>
            </w:pPr>
            <w:r>
              <w:t>Poor</w:t>
            </w:r>
          </w:p>
        </w:tc>
        <w:tc>
          <w:tcPr>
            <w:tcW w:w="2281" w:type="dxa"/>
          </w:tcPr>
          <w:p w14:paraId="5B6181FF" w14:textId="77777777" w:rsidR="00861296" w:rsidRDefault="00F267C8" w:rsidP="00BA2FE1">
            <w:pPr>
              <w:pStyle w:val="Tabletext"/>
            </w:pPr>
            <w:r>
              <w:t>Chemical dependant Surface water body status.</w:t>
            </w:r>
            <w:r>
              <w:br/>
              <w:t>General Chemical Test.</w:t>
            </w:r>
          </w:p>
        </w:tc>
      </w:tr>
      <w:tr w:rsidR="00861296" w14:paraId="35537236" w14:textId="77777777" w:rsidTr="003B71B7">
        <w:tblPrEx>
          <w:tblBorders>
            <w:insideH w:val="none" w:sz="0" w:space="0" w:color="auto"/>
            <w:insideV w:val="none" w:sz="0" w:space="0" w:color="auto"/>
          </w:tblBorders>
        </w:tblPrEx>
        <w:trPr>
          <w:trHeight w:val="756"/>
        </w:trPr>
        <w:tc>
          <w:tcPr>
            <w:tcW w:w="9286" w:type="dxa"/>
            <w:gridSpan w:val="4"/>
          </w:tcPr>
          <w:p w14:paraId="0B221B25" w14:textId="77777777" w:rsidR="00861296" w:rsidRDefault="00F267C8" w:rsidP="00BA2FE1">
            <w:pPr>
              <w:pStyle w:val="Humber-Heading2"/>
              <w:rPr>
                <w:b w:val="0"/>
                <w:color w:val="auto"/>
              </w:rPr>
            </w:pPr>
            <w:r w:rsidRPr="00D94FF8">
              <w:rPr>
                <w:b w:val="0"/>
                <w:color w:val="auto"/>
              </w:rPr>
              <w:lastRenderedPageBreak/>
              <w:t>No data is available for Fish classification in 201</w:t>
            </w:r>
            <w:r w:rsidR="00745C3C">
              <w:rPr>
                <w:b w:val="0"/>
                <w:color w:val="auto"/>
              </w:rPr>
              <w:t>5</w:t>
            </w:r>
            <w:r w:rsidRPr="00D94FF8">
              <w:rPr>
                <w:b w:val="0"/>
                <w:color w:val="auto"/>
              </w:rPr>
              <w:t>.</w:t>
            </w:r>
          </w:p>
          <w:p w14:paraId="3678048D" w14:textId="77777777" w:rsidR="00861296" w:rsidRDefault="00745C3C" w:rsidP="00847899">
            <w:pPr>
              <w:pStyle w:val="Humber-Heading2"/>
            </w:pPr>
            <w:r>
              <w:rPr>
                <w:b w:val="0"/>
                <w:color w:val="auto"/>
              </w:rPr>
              <w:t>The West Allen from source to</w:t>
            </w:r>
            <w:r w:rsidR="00847899">
              <w:rPr>
                <w:b w:val="0"/>
                <w:color w:val="auto"/>
              </w:rPr>
              <w:t xml:space="preserve"> Wellhope burn has been misclassified on the catchment planning system showing it as good status, however, metals have been missed from the classification tool giving a false positive. The status given above shows the correct failures.</w:t>
            </w:r>
          </w:p>
        </w:tc>
      </w:tr>
      <w:tr w:rsidR="00847899" w14:paraId="11D2EFD9" w14:textId="77777777" w:rsidTr="003B71B7">
        <w:tblPrEx>
          <w:tblBorders>
            <w:insideH w:val="none" w:sz="0" w:space="0" w:color="auto"/>
            <w:insideV w:val="none" w:sz="0" w:space="0" w:color="auto"/>
          </w:tblBorders>
        </w:tblPrEx>
        <w:trPr>
          <w:trHeight w:val="756"/>
        </w:trPr>
        <w:tc>
          <w:tcPr>
            <w:tcW w:w="9286" w:type="dxa"/>
            <w:gridSpan w:val="4"/>
          </w:tcPr>
          <w:p w14:paraId="5D51450D" w14:textId="77777777" w:rsidR="00847899" w:rsidRPr="00D94FF8" w:rsidRDefault="00847899" w:rsidP="00BA2FE1">
            <w:pPr>
              <w:pStyle w:val="Humber-Heading2"/>
              <w:rPr>
                <w:b w:val="0"/>
                <w:color w:val="auto"/>
              </w:rPr>
            </w:pPr>
          </w:p>
        </w:tc>
      </w:tr>
    </w:tbl>
    <w:p w14:paraId="64480F6D" w14:textId="77777777" w:rsidR="002B72AB" w:rsidRPr="00797565" w:rsidRDefault="002B72AB" w:rsidP="002B72AB">
      <w:pPr>
        <w:pStyle w:val="Humber-Heading1"/>
        <w:outlineLvl w:val="0"/>
      </w:pPr>
      <w:r>
        <w:t>Summary of impacts from abandoned mines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7"/>
        <w:gridCol w:w="3402"/>
        <w:gridCol w:w="2657"/>
      </w:tblGrid>
      <w:tr w:rsidR="002B72AB" w:rsidRPr="00D3431E" w14:paraId="61A09890" w14:textId="77777777" w:rsidTr="002B72AB">
        <w:tc>
          <w:tcPr>
            <w:tcW w:w="3227" w:type="dxa"/>
          </w:tcPr>
          <w:p w14:paraId="3B84C042" w14:textId="77777777" w:rsidR="002B72AB" w:rsidRPr="00D3431E" w:rsidRDefault="002B72AB" w:rsidP="00745C3C">
            <w:pPr>
              <w:pStyle w:val="Tabletext"/>
            </w:pPr>
            <w:r w:rsidRPr="00D3431E">
              <w:t>NoCAM result</w:t>
            </w:r>
            <w:r w:rsidR="00CA0FCB">
              <w:t xml:space="preserve">: </w:t>
            </w:r>
          </w:p>
        </w:tc>
        <w:tc>
          <w:tcPr>
            <w:tcW w:w="3402" w:type="dxa"/>
            <w:shd w:val="clear" w:color="auto" w:fill="auto"/>
          </w:tcPr>
          <w:p w14:paraId="6ED080E3" w14:textId="77777777" w:rsidR="002B72AB" w:rsidRPr="00D3431E" w:rsidRDefault="0009471A" w:rsidP="008B15BB">
            <w:pPr>
              <w:pStyle w:val="Tabletext"/>
            </w:pPr>
            <w:r>
              <w:t>Impacted</w:t>
            </w:r>
          </w:p>
        </w:tc>
        <w:tc>
          <w:tcPr>
            <w:tcW w:w="2657" w:type="dxa"/>
            <w:shd w:val="clear" w:color="auto" w:fill="auto"/>
          </w:tcPr>
          <w:p w14:paraId="4FED674B" w14:textId="77777777" w:rsidR="002B72AB" w:rsidRPr="00D3431E" w:rsidRDefault="00D3431E" w:rsidP="008B15BB">
            <w:pPr>
              <w:pStyle w:val="Tabletext"/>
              <w:rPr>
                <w:b/>
              </w:rPr>
            </w:pPr>
            <w:r w:rsidRPr="00D3431E">
              <w:rPr>
                <w:b/>
              </w:rPr>
              <w:t xml:space="preserve">Score = </w:t>
            </w:r>
            <w:r w:rsidR="0009471A">
              <w:rPr>
                <w:b/>
              </w:rPr>
              <w:t>1</w:t>
            </w:r>
            <w:r w:rsidR="00745C3C">
              <w:rPr>
                <w:b/>
              </w:rPr>
              <w:t>4</w:t>
            </w:r>
          </w:p>
        </w:tc>
      </w:tr>
      <w:tr w:rsidR="007753AC" w:rsidRPr="00D3431E" w14:paraId="0AF1BF5C" w14:textId="77777777" w:rsidTr="002B72AB">
        <w:tc>
          <w:tcPr>
            <w:tcW w:w="3227" w:type="dxa"/>
          </w:tcPr>
          <w:p w14:paraId="6909B0DD" w14:textId="77777777" w:rsidR="007753AC" w:rsidRPr="00D3431E" w:rsidRDefault="007753AC" w:rsidP="008B15BB">
            <w:pPr>
              <w:pStyle w:val="Tabletext"/>
            </w:pPr>
            <w:r>
              <w:t>SWMI</w:t>
            </w:r>
            <w:r w:rsidR="00C30BC4">
              <w:t xml:space="preserve"> Fail (confirmed)</w:t>
            </w:r>
          </w:p>
        </w:tc>
        <w:tc>
          <w:tcPr>
            <w:tcW w:w="3402" w:type="dxa"/>
            <w:shd w:val="clear" w:color="auto" w:fill="auto"/>
          </w:tcPr>
          <w:p w14:paraId="33D30559" w14:textId="77777777" w:rsidR="007753AC" w:rsidRPr="00D3431E" w:rsidRDefault="007753AC" w:rsidP="00C30BC4">
            <w:pPr>
              <w:pStyle w:val="Tabletext"/>
            </w:pPr>
            <w:r>
              <w:t>At risk</w:t>
            </w:r>
          </w:p>
        </w:tc>
        <w:tc>
          <w:tcPr>
            <w:tcW w:w="2657" w:type="dxa"/>
            <w:shd w:val="clear" w:color="auto" w:fill="auto"/>
          </w:tcPr>
          <w:p w14:paraId="4180F2DC" w14:textId="77777777" w:rsidR="007753AC" w:rsidRPr="00D3431E" w:rsidRDefault="007753AC" w:rsidP="008B15BB">
            <w:pPr>
              <w:pStyle w:val="Tabletext"/>
              <w:rPr>
                <w:b/>
              </w:rPr>
            </w:pPr>
          </w:p>
        </w:tc>
      </w:tr>
    </w:tbl>
    <w:p w14:paraId="7746F34D" w14:textId="77777777" w:rsidR="009029F8" w:rsidRDefault="009029F8" w:rsidP="002B72AB"/>
    <w:p w14:paraId="77F0CABA" w14:textId="77777777" w:rsidR="00261ED1" w:rsidRPr="00DF7F89" w:rsidRDefault="00261ED1" w:rsidP="00261ED1">
      <w:pPr>
        <w:pStyle w:val="Humber-Heading1"/>
      </w:pPr>
      <w:r w:rsidRPr="00DF7F89">
        <w:t>Mining Waste Directive</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7"/>
        <w:gridCol w:w="2265"/>
        <w:gridCol w:w="1640"/>
        <w:gridCol w:w="1843"/>
        <w:gridCol w:w="1275"/>
        <w:gridCol w:w="1340"/>
      </w:tblGrid>
      <w:tr w:rsidR="00261ED1" w:rsidRPr="00DA6D8F" w14:paraId="32454F8E" w14:textId="77777777" w:rsidTr="00DA6D8F">
        <w:trPr>
          <w:trHeight w:val="255"/>
        </w:trPr>
        <w:tc>
          <w:tcPr>
            <w:tcW w:w="9180" w:type="dxa"/>
            <w:gridSpan w:val="6"/>
            <w:tcBorders>
              <w:top w:val="single" w:sz="4" w:space="0" w:color="auto"/>
              <w:left w:val="single" w:sz="4" w:space="0" w:color="auto"/>
              <w:bottom w:val="single" w:sz="4" w:space="0" w:color="auto"/>
              <w:right w:val="single" w:sz="4" w:space="0" w:color="auto"/>
            </w:tcBorders>
            <w:shd w:val="clear" w:color="auto" w:fill="auto"/>
            <w:noWrap/>
          </w:tcPr>
          <w:p w14:paraId="6B9E4837" w14:textId="77777777" w:rsidR="00261ED1" w:rsidRPr="00DA6D8F" w:rsidRDefault="00261ED1" w:rsidP="0079716B">
            <w:pPr>
              <w:rPr>
                <w:rStyle w:val="bodyboldblack"/>
              </w:rPr>
            </w:pPr>
            <w:r w:rsidRPr="00DA6D8F">
              <w:rPr>
                <w:rStyle w:val="bodyboldblack"/>
              </w:rPr>
              <w:t>MWD inventory</w:t>
            </w:r>
          </w:p>
        </w:tc>
      </w:tr>
      <w:tr w:rsidR="00261ED1" w:rsidRPr="00DA6D8F" w14:paraId="736800DB" w14:textId="77777777" w:rsidTr="00DA6D8F">
        <w:trPr>
          <w:trHeight w:val="255"/>
        </w:trPr>
        <w:tc>
          <w:tcPr>
            <w:tcW w:w="817" w:type="dxa"/>
            <w:tcBorders>
              <w:top w:val="single" w:sz="4" w:space="0" w:color="auto"/>
              <w:left w:val="single" w:sz="4" w:space="0" w:color="auto"/>
              <w:bottom w:val="single" w:sz="4" w:space="0" w:color="auto"/>
              <w:right w:val="single" w:sz="4" w:space="0" w:color="auto"/>
            </w:tcBorders>
            <w:shd w:val="clear" w:color="auto" w:fill="auto"/>
            <w:noWrap/>
          </w:tcPr>
          <w:p w14:paraId="2809D1E1" w14:textId="77777777" w:rsidR="00261ED1" w:rsidRPr="00DA6D8F" w:rsidRDefault="00261ED1" w:rsidP="0079716B">
            <w:pPr>
              <w:rPr>
                <w:rStyle w:val="bodyboldblack"/>
              </w:rPr>
            </w:pPr>
            <w:r w:rsidRPr="00DA6D8F">
              <w:rPr>
                <w:rStyle w:val="bodyboldblack"/>
              </w:rPr>
              <w:t>URN</w:t>
            </w:r>
          </w:p>
        </w:tc>
        <w:tc>
          <w:tcPr>
            <w:tcW w:w="2265" w:type="dxa"/>
            <w:tcBorders>
              <w:top w:val="single" w:sz="4" w:space="0" w:color="auto"/>
              <w:left w:val="single" w:sz="4" w:space="0" w:color="auto"/>
              <w:bottom w:val="single" w:sz="4" w:space="0" w:color="auto"/>
              <w:right w:val="single" w:sz="4" w:space="0" w:color="auto"/>
            </w:tcBorders>
            <w:shd w:val="clear" w:color="auto" w:fill="auto"/>
            <w:noWrap/>
          </w:tcPr>
          <w:p w14:paraId="1BC56FAB" w14:textId="77777777" w:rsidR="00261ED1" w:rsidRPr="00DA6D8F" w:rsidRDefault="00261ED1" w:rsidP="0079716B">
            <w:pPr>
              <w:rPr>
                <w:rStyle w:val="bodyboldblack"/>
              </w:rPr>
            </w:pPr>
            <w:r w:rsidRPr="00DA6D8F">
              <w:rPr>
                <w:rStyle w:val="bodyboldblack"/>
              </w:rPr>
              <w:t>Site name</w:t>
            </w:r>
          </w:p>
        </w:tc>
        <w:tc>
          <w:tcPr>
            <w:tcW w:w="1640" w:type="dxa"/>
            <w:tcBorders>
              <w:top w:val="single" w:sz="4" w:space="0" w:color="auto"/>
              <w:left w:val="single" w:sz="4" w:space="0" w:color="auto"/>
              <w:bottom w:val="single" w:sz="4" w:space="0" w:color="auto"/>
              <w:right w:val="single" w:sz="4" w:space="0" w:color="auto"/>
            </w:tcBorders>
            <w:shd w:val="clear" w:color="auto" w:fill="auto"/>
            <w:noWrap/>
          </w:tcPr>
          <w:p w14:paraId="0059BF2D" w14:textId="77777777" w:rsidR="00261ED1" w:rsidRPr="00DA6D8F" w:rsidRDefault="00261ED1" w:rsidP="0079716B">
            <w:pPr>
              <w:rPr>
                <w:rStyle w:val="bodyboldblack"/>
              </w:rPr>
            </w:pPr>
            <w:r w:rsidRPr="00DA6D8F">
              <w:rPr>
                <w:rStyle w:val="bodyboldblack"/>
              </w:rPr>
              <w:t>Mine type</w:t>
            </w:r>
          </w:p>
        </w:tc>
        <w:tc>
          <w:tcPr>
            <w:tcW w:w="1843" w:type="dxa"/>
            <w:tcBorders>
              <w:top w:val="single" w:sz="4" w:space="0" w:color="auto"/>
              <w:left w:val="single" w:sz="4" w:space="0" w:color="auto"/>
              <w:bottom w:val="single" w:sz="4" w:space="0" w:color="auto"/>
              <w:right w:val="single" w:sz="4" w:space="0" w:color="auto"/>
            </w:tcBorders>
            <w:shd w:val="clear" w:color="auto" w:fill="auto"/>
            <w:noWrap/>
          </w:tcPr>
          <w:p w14:paraId="0E07E2D7" w14:textId="77777777" w:rsidR="00261ED1" w:rsidRPr="00DA6D8F" w:rsidRDefault="00261ED1" w:rsidP="0079716B">
            <w:pPr>
              <w:rPr>
                <w:rStyle w:val="bodyboldblack"/>
              </w:rPr>
            </w:pPr>
            <w:r w:rsidRPr="00DA6D8F">
              <w:rPr>
                <w:rStyle w:val="bodyboldblack"/>
              </w:rPr>
              <w:t>Reason</w:t>
            </w: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14:paraId="5F95FC24" w14:textId="77777777" w:rsidR="00261ED1" w:rsidRPr="00DA6D8F" w:rsidRDefault="00261ED1" w:rsidP="0079716B">
            <w:pPr>
              <w:rPr>
                <w:rStyle w:val="bodyboldblack"/>
              </w:rPr>
            </w:pPr>
            <w:r w:rsidRPr="00DA6D8F">
              <w:rPr>
                <w:rStyle w:val="bodyboldblack"/>
              </w:rPr>
              <w:t>Easting</w:t>
            </w:r>
          </w:p>
        </w:tc>
        <w:tc>
          <w:tcPr>
            <w:tcW w:w="1340" w:type="dxa"/>
            <w:tcBorders>
              <w:top w:val="single" w:sz="4" w:space="0" w:color="auto"/>
              <w:left w:val="single" w:sz="4" w:space="0" w:color="auto"/>
              <w:bottom w:val="single" w:sz="4" w:space="0" w:color="auto"/>
              <w:right w:val="single" w:sz="4" w:space="0" w:color="auto"/>
            </w:tcBorders>
            <w:shd w:val="clear" w:color="auto" w:fill="auto"/>
            <w:noWrap/>
          </w:tcPr>
          <w:p w14:paraId="17F6D577" w14:textId="77777777" w:rsidR="00261ED1" w:rsidRPr="00DA6D8F" w:rsidRDefault="00261ED1" w:rsidP="0079716B">
            <w:pPr>
              <w:rPr>
                <w:rStyle w:val="bodyboldblack"/>
              </w:rPr>
            </w:pPr>
            <w:r w:rsidRPr="00DA6D8F">
              <w:rPr>
                <w:rStyle w:val="bodyboldblack"/>
              </w:rPr>
              <w:t xml:space="preserve">Northing </w:t>
            </w:r>
          </w:p>
        </w:tc>
      </w:tr>
      <w:tr w:rsidR="00261ED1" w:rsidRPr="00DA6D8F" w14:paraId="230807C5" w14:textId="77777777" w:rsidTr="00DA6D8F">
        <w:trPr>
          <w:trHeight w:val="255"/>
        </w:trPr>
        <w:tc>
          <w:tcPr>
            <w:tcW w:w="817" w:type="dxa"/>
            <w:shd w:val="clear" w:color="auto" w:fill="auto"/>
            <w:noWrap/>
          </w:tcPr>
          <w:p w14:paraId="77F5CE76" w14:textId="77777777" w:rsidR="00261ED1" w:rsidRPr="00DA6D8F" w:rsidRDefault="001B737A" w:rsidP="0079716B">
            <w:r>
              <w:t>1029</w:t>
            </w:r>
          </w:p>
        </w:tc>
        <w:tc>
          <w:tcPr>
            <w:tcW w:w="2265" w:type="dxa"/>
            <w:shd w:val="clear" w:color="auto" w:fill="auto"/>
            <w:noWrap/>
          </w:tcPr>
          <w:p w14:paraId="2BFE7D47" w14:textId="3C84FDEE" w:rsidR="00261ED1" w:rsidRPr="00DA6D8F" w:rsidRDefault="001B737A" w:rsidP="0079716B">
            <w:r>
              <w:t>Coal</w:t>
            </w:r>
            <w:r w:rsidR="00695ACE">
              <w:t xml:space="preserve"> </w:t>
            </w:r>
            <w:r>
              <w:t>cleugh</w:t>
            </w:r>
          </w:p>
        </w:tc>
        <w:tc>
          <w:tcPr>
            <w:tcW w:w="1640" w:type="dxa"/>
            <w:shd w:val="clear" w:color="auto" w:fill="auto"/>
            <w:noWrap/>
          </w:tcPr>
          <w:p w14:paraId="5D18E2BC" w14:textId="77777777" w:rsidR="00261ED1" w:rsidRPr="00DA6D8F" w:rsidRDefault="001B737A" w:rsidP="001B737A">
            <w:r>
              <w:t>Metalliferous</w:t>
            </w:r>
          </w:p>
        </w:tc>
        <w:tc>
          <w:tcPr>
            <w:tcW w:w="1843" w:type="dxa"/>
            <w:shd w:val="clear" w:color="auto" w:fill="auto"/>
            <w:noWrap/>
          </w:tcPr>
          <w:p w14:paraId="1EBF2D40" w14:textId="77777777" w:rsidR="00261ED1" w:rsidRPr="00DA6D8F" w:rsidRDefault="001B737A" w:rsidP="0079716B">
            <w:r>
              <w:t>Water Pollution</w:t>
            </w:r>
          </w:p>
        </w:tc>
        <w:tc>
          <w:tcPr>
            <w:tcW w:w="1275" w:type="dxa"/>
            <w:shd w:val="clear" w:color="auto" w:fill="auto"/>
            <w:noWrap/>
          </w:tcPr>
          <w:p w14:paraId="2737B9C2" w14:textId="77777777" w:rsidR="00261ED1" w:rsidRPr="00DA6D8F" w:rsidRDefault="001B737A" w:rsidP="0079716B">
            <w:r>
              <w:t>380091</w:t>
            </w:r>
          </w:p>
        </w:tc>
        <w:tc>
          <w:tcPr>
            <w:tcW w:w="1340" w:type="dxa"/>
            <w:shd w:val="clear" w:color="auto" w:fill="auto"/>
            <w:noWrap/>
          </w:tcPr>
          <w:p w14:paraId="1FDE0239" w14:textId="77777777" w:rsidR="00261ED1" w:rsidRPr="00DA6D8F" w:rsidRDefault="001B737A" w:rsidP="0079716B">
            <w:r>
              <w:t>545093</w:t>
            </w:r>
          </w:p>
        </w:tc>
      </w:tr>
      <w:tr w:rsidR="00261ED1" w:rsidRPr="00DA6D8F" w14:paraId="4A6A8A44" w14:textId="77777777" w:rsidTr="00DA6D8F">
        <w:trPr>
          <w:trHeight w:val="255"/>
        </w:trPr>
        <w:tc>
          <w:tcPr>
            <w:tcW w:w="817" w:type="dxa"/>
            <w:shd w:val="clear" w:color="auto" w:fill="auto"/>
            <w:noWrap/>
          </w:tcPr>
          <w:p w14:paraId="061ED9DA" w14:textId="77777777" w:rsidR="00261ED1" w:rsidRPr="00DA6D8F" w:rsidRDefault="001B737A" w:rsidP="0079716B">
            <w:r>
              <w:t>1001</w:t>
            </w:r>
          </w:p>
        </w:tc>
        <w:tc>
          <w:tcPr>
            <w:tcW w:w="2265" w:type="dxa"/>
            <w:shd w:val="clear" w:color="auto" w:fill="auto"/>
            <w:noWrap/>
          </w:tcPr>
          <w:p w14:paraId="68982608" w14:textId="77777777" w:rsidR="00261ED1" w:rsidRPr="00DA6D8F" w:rsidRDefault="001B737A" w:rsidP="001B737A">
            <w:r>
              <w:t>Barney Craig / Scraithole mines</w:t>
            </w:r>
          </w:p>
        </w:tc>
        <w:tc>
          <w:tcPr>
            <w:tcW w:w="1640" w:type="dxa"/>
            <w:shd w:val="clear" w:color="auto" w:fill="auto"/>
            <w:noWrap/>
          </w:tcPr>
          <w:p w14:paraId="2FF7F6B2" w14:textId="77777777" w:rsidR="00261ED1" w:rsidRPr="00DA6D8F" w:rsidRDefault="001B737A" w:rsidP="0079716B">
            <w:r>
              <w:t>Metalliferous</w:t>
            </w:r>
          </w:p>
        </w:tc>
        <w:tc>
          <w:tcPr>
            <w:tcW w:w="1843" w:type="dxa"/>
            <w:shd w:val="clear" w:color="auto" w:fill="auto"/>
            <w:noWrap/>
          </w:tcPr>
          <w:p w14:paraId="56BFD2D2" w14:textId="77777777" w:rsidR="00261ED1" w:rsidRPr="00DA6D8F" w:rsidRDefault="001B737A" w:rsidP="0079716B">
            <w:r>
              <w:t>Water Pollution</w:t>
            </w:r>
          </w:p>
        </w:tc>
        <w:tc>
          <w:tcPr>
            <w:tcW w:w="1275" w:type="dxa"/>
            <w:shd w:val="clear" w:color="auto" w:fill="auto"/>
            <w:noWrap/>
          </w:tcPr>
          <w:p w14:paraId="1807990F" w14:textId="77777777" w:rsidR="00261ED1" w:rsidRPr="00DA6D8F" w:rsidRDefault="001B737A" w:rsidP="0079716B">
            <w:r>
              <w:t>380348</w:t>
            </w:r>
          </w:p>
        </w:tc>
        <w:tc>
          <w:tcPr>
            <w:tcW w:w="1340" w:type="dxa"/>
            <w:shd w:val="clear" w:color="auto" w:fill="auto"/>
            <w:noWrap/>
          </w:tcPr>
          <w:p w14:paraId="768794F6" w14:textId="77777777" w:rsidR="00261ED1" w:rsidRPr="00DA6D8F" w:rsidRDefault="001B737A" w:rsidP="0079716B">
            <w:r>
              <w:t>546963</w:t>
            </w:r>
          </w:p>
        </w:tc>
      </w:tr>
    </w:tbl>
    <w:p w14:paraId="744737EE" w14:textId="77777777" w:rsidR="00261ED1" w:rsidRDefault="00261ED1" w:rsidP="00261ED1">
      <w:pPr>
        <w:rPr>
          <w:b/>
          <w:sz w:val="28"/>
          <w:szCs w:val="28"/>
        </w:rPr>
      </w:pPr>
    </w:p>
    <w:p w14:paraId="6B398E82" w14:textId="77777777" w:rsidR="00DA6D8F" w:rsidRPr="008D3E4B" w:rsidRDefault="00B6746A" w:rsidP="008D3E4B">
      <w:pPr>
        <w:pStyle w:val="Humber-Heading1"/>
        <w:outlineLvl w:val="0"/>
      </w:pPr>
      <w:r>
        <w:t>Synopsis</w:t>
      </w:r>
      <w:r w:rsidR="00D3431E" w:rsidRPr="008D3E4B">
        <w:t xml:space="preserve"> of</w:t>
      </w:r>
      <w:r>
        <w:t xml:space="preserve"> catchment characterisation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37"/>
        <w:gridCol w:w="3387"/>
        <w:gridCol w:w="3262"/>
      </w:tblGrid>
      <w:tr w:rsidR="005C7639" w:rsidRPr="005C7639" w14:paraId="4B0709C3" w14:textId="77777777" w:rsidTr="005C7639">
        <w:tc>
          <w:tcPr>
            <w:tcW w:w="2637" w:type="dxa"/>
          </w:tcPr>
          <w:p w14:paraId="1A1D048B" w14:textId="77777777" w:rsidR="005C7639" w:rsidRPr="005C7639" w:rsidRDefault="005C7639" w:rsidP="003B71B7">
            <w:pPr>
              <w:pStyle w:val="Tabletext"/>
              <w:rPr>
                <w:b/>
              </w:rPr>
            </w:pPr>
          </w:p>
        </w:tc>
        <w:tc>
          <w:tcPr>
            <w:tcW w:w="3387" w:type="dxa"/>
          </w:tcPr>
          <w:p w14:paraId="664410F3" w14:textId="77777777" w:rsidR="005C7639" w:rsidRPr="005C7639" w:rsidRDefault="00A17D5A" w:rsidP="003B71B7">
            <w:pPr>
              <w:pStyle w:val="Tabletext"/>
              <w:rPr>
                <w:b/>
              </w:rPr>
            </w:pPr>
            <w:r>
              <w:rPr>
                <w:b/>
              </w:rPr>
              <w:t>Details</w:t>
            </w:r>
          </w:p>
        </w:tc>
        <w:tc>
          <w:tcPr>
            <w:tcW w:w="3262" w:type="dxa"/>
          </w:tcPr>
          <w:p w14:paraId="5C4B2CEB" w14:textId="77777777" w:rsidR="005C7639" w:rsidRPr="005C7639" w:rsidRDefault="005C7639" w:rsidP="003B71B7">
            <w:pPr>
              <w:pStyle w:val="Tabletext"/>
              <w:rPr>
                <w:b/>
              </w:rPr>
            </w:pPr>
            <w:r w:rsidRPr="005C7639">
              <w:rPr>
                <w:b/>
              </w:rPr>
              <w:t>Comment</w:t>
            </w:r>
          </w:p>
        </w:tc>
      </w:tr>
      <w:tr w:rsidR="00A17D5A" w:rsidRPr="005C7639" w14:paraId="236E4454" w14:textId="77777777" w:rsidTr="003B71B7">
        <w:tc>
          <w:tcPr>
            <w:tcW w:w="2637" w:type="dxa"/>
          </w:tcPr>
          <w:p w14:paraId="680E683C" w14:textId="77777777" w:rsidR="00A17D5A" w:rsidRPr="005C7639" w:rsidRDefault="00A17D5A" w:rsidP="003B71B7">
            <w:pPr>
              <w:pStyle w:val="Tabletext"/>
              <w:rPr>
                <w:b/>
              </w:rPr>
            </w:pPr>
            <w:r>
              <w:rPr>
                <w:b/>
              </w:rPr>
              <w:t xml:space="preserve">Summary of </w:t>
            </w:r>
            <w:commentRangeStart w:id="3"/>
            <w:r>
              <w:rPr>
                <w:b/>
              </w:rPr>
              <w:t>impacts</w:t>
            </w:r>
            <w:commentRangeEnd w:id="3"/>
            <w:r>
              <w:rPr>
                <w:rStyle w:val="CommentReference"/>
              </w:rPr>
              <w:commentReference w:id="3"/>
            </w:r>
          </w:p>
        </w:tc>
        <w:tc>
          <w:tcPr>
            <w:tcW w:w="6649" w:type="dxa"/>
            <w:gridSpan w:val="2"/>
          </w:tcPr>
          <w:p w14:paraId="0BC1C34E" w14:textId="19B00433" w:rsidR="00A17D5A" w:rsidRPr="00C30BC4" w:rsidRDefault="00C30BC4" w:rsidP="00695ACE">
            <w:pPr>
              <w:pStyle w:val="Tabletext"/>
            </w:pPr>
            <w:r w:rsidRPr="00C30BC4">
              <w:t xml:space="preserve">There are </w:t>
            </w:r>
            <w:r w:rsidR="00A30872">
              <w:t>3</w:t>
            </w:r>
            <w:r w:rsidRPr="00C30BC4">
              <w:t xml:space="preserve"> known point sources discharges to the West Allen</w:t>
            </w:r>
            <w:r w:rsidR="00AB3299">
              <w:t xml:space="preserve"> at </w:t>
            </w:r>
            <w:r w:rsidR="00A30872">
              <w:t xml:space="preserve">Coal Cleugh, </w:t>
            </w:r>
            <w:r w:rsidR="00125CF3">
              <w:t>Scraithole</w:t>
            </w:r>
            <w:r w:rsidR="00AB3299">
              <w:t xml:space="preserve"> and Barney Craig. There is significant contribution in wet weather from the tailings dam and dressing floor </w:t>
            </w:r>
            <w:r w:rsidR="00A30872">
              <w:t xml:space="preserve">at Carrshields and </w:t>
            </w:r>
            <w:r w:rsidR="00695ACE">
              <w:t>C</w:t>
            </w:r>
            <w:r w:rsidR="00A30872">
              <w:t>oal</w:t>
            </w:r>
            <w:r w:rsidR="00695ACE">
              <w:t xml:space="preserve"> </w:t>
            </w:r>
            <w:r w:rsidR="00A30872">
              <w:t>cleugh, there is also significant remobilisation of sediment in high flow conditions</w:t>
            </w:r>
            <w:r w:rsidR="00AB3299">
              <w:t>.</w:t>
            </w:r>
          </w:p>
        </w:tc>
      </w:tr>
      <w:tr w:rsidR="005C7639" w14:paraId="72C6DA5F" w14:textId="77777777" w:rsidTr="005C7639">
        <w:tc>
          <w:tcPr>
            <w:tcW w:w="2637" w:type="dxa"/>
          </w:tcPr>
          <w:p w14:paraId="58401ECF" w14:textId="77777777" w:rsidR="005C7639" w:rsidRPr="008B15BB" w:rsidRDefault="005C7639" w:rsidP="003B71B7">
            <w:pPr>
              <w:pStyle w:val="Tabletext"/>
              <w:rPr>
                <w:b/>
              </w:rPr>
            </w:pPr>
            <w:r>
              <w:rPr>
                <w:b/>
              </w:rPr>
              <w:t xml:space="preserve"># water bodies </w:t>
            </w:r>
            <w:commentRangeStart w:id="4"/>
            <w:r>
              <w:rPr>
                <w:b/>
              </w:rPr>
              <w:t>impacted</w:t>
            </w:r>
            <w:commentRangeEnd w:id="4"/>
            <w:r>
              <w:rPr>
                <w:rStyle w:val="CommentReference"/>
              </w:rPr>
              <w:commentReference w:id="4"/>
            </w:r>
          </w:p>
        </w:tc>
        <w:tc>
          <w:tcPr>
            <w:tcW w:w="3387" w:type="dxa"/>
          </w:tcPr>
          <w:p w14:paraId="2EEAD24D" w14:textId="77777777" w:rsidR="005C7639" w:rsidRDefault="009E410C" w:rsidP="003B71B7">
            <w:pPr>
              <w:pStyle w:val="Tabletext"/>
            </w:pPr>
            <w:r>
              <w:t>4</w:t>
            </w:r>
          </w:p>
        </w:tc>
        <w:tc>
          <w:tcPr>
            <w:tcW w:w="3262" w:type="dxa"/>
          </w:tcPr>
          <w:p w14:paraId="0192AB6B" w14:textId="77777777" w:rsidR="005C7639" w:rsidRDefault="005C7639" w:rsidP="003B71B7">
            <w:pPr>
              <w:pStyle w:val="Tabletext"/>
            </w:pPr>
          </w:p>
        </w:tc>
      </w:tr>
      <w:tr w:rsidR="005C7639" w14:paraId="35055E9D" w14:textId="77777777" w:rsidTr="005C7639">
        <w:tc>
          <w:tcPr>
            <w:tcW w:w="2637" w:type="dxa"/>
          </w:tcPr>
          <w:p w14:paraId="51B458AF" w14:textId="77777777" w:rsidR="005C7639" w:rsidRPr="008B15BB" w:rsidRDefault="005C7639" w:rsidP="003B71B7">
            <w:pPr>
              <w:pStyle w:val="Tabletext"/>
              <w:rPr>
                <w:b/>
              </w:rPr>
            </w:pPr>
            <w:r>
              <w:rPr>
                <w:b/>
              </w:rPr>
              <w:t>Length of river impacted (</w:t>
            </w:r>
            <w:commentRangeStart w:id="5"/>
            <w:r>
              <w:rPr>
                <w:b/>
              </w:rPr>
              <w:t>km</w:t>
            </w:r>
            <w:commentRangeEnd w:id="5"/>
            <w:r>
              <w:rPr>
                <w:rStyle w:val="CommentReference"/>
              </w:rPr>
              <w:commentReference w:id="5"/>
            </w:r>
            <w:r>
              <w:rPr>
                <w:b/>
              </w:rPr>
              <w:t>)</w:t>
            </w:r>
          </w:p>
        </w:tc>
        <w:tc>
          <w:tcPr>
            <w:tcW w:w="3387" w:type="dxa"/>
          </w:tcPr>
          <w:p w14:paraId="0EBB25CB" w14:textId="77777777" w:rsidR="005C7639" w:rsidRPr="00E95628" w:rsidRDefault="007E0674" w:rsidP="003B71B7">
            <w:pPr>
              <w:pStyle w:val="Tabletext"/>
            </w:pPr>
            <w:r>
              <w:t>35km</w:t>
            </w:r>
          </w:p>
        </w:tc>
        <w:tc>
          <w:tcPr>
            <w:tcW w:w="3262" w:type="dxa"/>
          </w:tcPr>
          <w:p w14:paraId="3CA585A8" w14:textId="61DCB1FD" w:rsidR="005C7639" w:rsidRPr="00E95628" w:rsidRDefault="007E0674" w:rsidP="003B71B7">
            <w:pPr>
              <w:pStyle w:val="Tabletext"/>
            </w:pPr>
            <w:r>
              <w:t xml:space="preserve">The River West Allen is not the only source of metals for the downstream </w:t>
            </w:r>
            <w:r w:rsidR="00695ACE">
              <w:t>water bodies</w:t>
            </w:r>
            <w:r>
              <w:t>, but is a significant contributor.</w:t>
            </w:r>
          </w:p>
        </w:tc>
      </w:tr>
      <w:tr w:rsidR="005C7639" w14:paraId="2E01875A" w14:textId="77777777" w:rsidTr="005C7639">
        <w:tc>
          <w:tcPr>
            <w:tcW w:w="2637" w:type="dxa"/>
          </w:tcPr>
          <w:p w14:paraId="2A0B8C0C" w14:textId="77777777" w:rsidR="005C7639" w:rsidRDefault="005C7639" w:rsidP="003B71B7">
            <w:pPr>
              <w:pStyle w:val="Tabletext"/>
              <w:rPr>
                <w:b/>
              </w:rPr>
            </w:pPr>
            <w:r>
              <w:rPr>
                <w:b/>
              </w:rPr>
              <w:t xml:space="preserve">Metals failing current </w:t>
            </w:r>
            <w:commentRangeStart w:id="6"/>
            <w:r>
              <w:rPr>
                <w:b/>
              </w:rPr>
              <w:t>EQS</w:t>
            </w:r>
            <w:commentRangeEnd w:id="6"/>
            <w:r>
              <w:rPr>
                <w:rStyle w:val="CommentReference"/>
              </w:rPr>
              <w:commentReference w:id="6"/>
            </w:r>
          </w:p>
        </w:tc>
        <w:tc>
          <w:tcPr>
            <w:tcW w:w="3387" w:type="dxa"/>
          </w:tcPr>
          <w:p w14:paraId="18086820" w14:textId="5B2F9406" w:rsidR="000E7660" w:rsidRDefault="00695ACE" w:rsidP="003B71B7">
            <w:pPr>
              <w:pStyle w:val="Tabletext"/>
            </w:pPr>
            <w:r>
              <w:t>U/s M</w:t>
            </w:r>
            <w:r w:rsidR="000E7660">
              <w:t>ohope burn /</w:t>
            </w:r>
            <w:r w:rsidR="0026723A">
              <w:t xml:space="preserve"> </w:t>
            </w:r>
            <w:r w:rsidR="000E7660">
              <w:t>Hindley Wrae</w:t>
            </w:r>
            <w:r w:rsidR="006154B4">
              <w:t xml:space="preserve"> (x EQS)</w:t>
            </w:r>
          </w:p>
          <w:p w14:paraId="158F5D35" w14:textId="77777777" w:rsidR="005C7639" w:rsidRDefault="005C7639" w:rsidP="003B71B7">
            <w:pPr>
              <w:pStyle w:val="Tabletext"/>
            </w:pPr>
            <w:r>
              <w:t>Zn =</w:t>
            </w:r>
            <w:r w:rsidR="000E7660">
              <w:t xml:space="preserve"> 67</w:t>
            </w:r>
            <w:r>
              <w:t xml:space="preserve"> </w:t>
            </w:r>
            <w:r w:rsidR="000E7660">
              <w:t xml:space="preserve">/ </w:t>
            </w:r>
            <w:r w:rsidR="007C2E0E">
              <w:t>13</w:t>
            </w:r>
          </w:p>
          <w:p w14:paraId="37F77BF8" w14:textId="77777777" w:rsidR="005C7639" w:rsidRDefault="005C7639" w:rsidP="003B71B7">
            <w:pPr>
              <w:pStyle w:val="Tabletext"/>
            </w:pPr>
            <w:r>
              <w:t>Cu =</w:t>
            </w:r>
            <w:r w:rsidR="000E7660">
              <w:t xml:space="preserve"> 0.2</w:t>
            </w:r>
            <w:r>
              <w:t xml:space="preserve"> </w:t>
            </w:r>
            <w:r w:rsidR="000E7660">
              <w:t xml:space="preserve">/ </w:t>
            </w:r>
            <w:r w:rsidR="007C2E0E">
              <w:t>0.2</w:t>
            </w:r>
          </w:p>
          <w:p w14:paraId="2C5B9809" w14:textId="77777777" w:rsidR="005C7639" w:rsidRDefault="005C7639" w:rsidP="003B71B7">
            <w:pPr>
              <w:pStyle w:val="Tabletext"/>
            </w:pPr>
            <w:r>
              <w:t>Cd =</w:t>
            </w:r>
            <w:r w:rsidR="000E7660">
              <w:t xml:space="preserve"> 39</w:t>
            </w:r>
            <w:r>
              <w:t xml:space="preserve"> </w:t>
            </w:r>
            <w:r w:rsidR="000E7660">
              <w:t xml:space="preserve">/ </w:t>
            </w:r>
            <w:r w:rsidR="00757645">
              <w:t>8.32</w:t>
            </w:r>
          </w:p>
          <w:p w14:paraId="50E45AEC" w14:textId="77777777" w:rsidR="005C7639" w:rsidRDefault="005C7639" w:rsidP="003B71B7">
            <w:pPr>
              <w:pStyle w:val="Tabletext"/>
            </w:pPr>
            <w:r>
              <w:t>Pb =</w:t>
            </w:r>
            <w:r w:rsidR="000E7660">
              <w:t xml:space="preserve"> 1.85</w:t>
            </w:r>
            <w:r>
              <w:t xml:space="preserve"> </w:t>
            </w:r>
            <w:r w:rsidR="000E7660">
              <w:t xml:space="preserve">/ </w:t>
            </w:r>
            <w:r w:rsidR="007C2E0E">
              <w:t>1.32</w:t>
            </w:r>
          </w:p>
          <w:p w14:paraId="6380FEC7" w14:textId="77777777" w:rsidR="005C7639" w:rsidRPr="00E95628" w:rsidRDefault="005C7639" w:rsidP="007C2E0E">
            <w:pPr>
              <w:pStyle w:val="Tabletext"/>
            </w:pPr>
            <w:r>
              <w:t xml:space="preserve">Ni = </w:t>
            </w:r>
            <w:r w:rsidR="000E7660">
              <w:t xml:space="preserve">0.34 / </w:t>
            </w:r>
            <w:r w:rsidR="007C2E0E">
              <w:t>.26</w:t>
            </w:r>
          </w:p>
        </w:tc>
        <w:tc>
          <w:tcPr>
            <w:tcW w:w="3262" w:type="dxa"/>
          </w:tcPr>
          <w:p w14:paraId="66BAF979" w14:textId="1D738DC4" w:rsidR="005C7639" w:rsidRPr="00C30BC4" w:rsidRDefault="00757645" w:rsidP="00DA7C26">
            <w:pPr>
              <w:pStyle w:val="Tabletext"/>
              <w:rPr>
                <w:color w:val="FF0000"/>
              </w:rPr>
            </w:pPr>
            <w:r>
              <w:t>Compliance point used</w:t>
            </w:r>
            <w:r w:rsidR="002A5094">
              <w:t xml:space="preserve"> for the study</w:t>
            </w:r>
            <w:r>
              <w:t xml:space="preserve"> is Hindley Wrae ford in the d/s catchment (West Allen from Wellhope to Allen)</w:t>
            </w:r>
            <w:r w:rsidR="006154B4">
              <w:t>. However, s</w:t>
            </w:r>
            <w:r w:rsidR="000E7660">
              <w:t>amples have been collected</w:t>
            </w:r>
            <w:r w:rsidR="006154B4">
              <w:t xml:space="preserve"> at Sample point</w:t>
            </w:r>
            <w:r w:rsidR="000E7660">
              <w:t xml:space="preserve"> </w:t>
            </w:r>
            <w:r w:rsidR="006154B4">
              <w:t>‘</w:t>
            </w:r>
            <w:r w:rsidR="00DA7C26">
              <w:t xml:space="preserve">West Allen </w:t>
            </w:r>
            <w:r w:rsidR="000E7660">
              <w:t>u/s of Mohope burn</w:t>
            </w:r>
            <w:r w:rsidR="006154B4">
              <w:t>’</w:t>
            </w:r>
            <w:r w:rsidR="000E7660">
              <w:t xml:space="preserve"> for WFD purposes and</w:t>
            </w:r>
            <w:r w:rsidR="00DA7C26">
              <w:t xml:space="preserve"> have been</w:t>
            </w:r>
            <w:r w:rsidR="000E7660">
              <w:t xml:space="preserve"> included </w:t>
            </w:r>
            <w:r w:rsidR="00DA7C26">
              <w:t>on the left this forms</w:t>
            </w:r>
            <w:r w:rsidR="000E7660">
              <w:t xml:space="preserve"> the compliance point for the </w:t>
            </w:r>
            <w:r w:rsidR="00DA7C26">
              <w:t xml:space="preserve">‘West Allen source to Wellhope burn’ </w:t>
            </w:r>
            <w:r w:rsidR="00695ACE">
              <w:t>catchment</w:t>
            </w:r>
            <w:r w:rsidR="000E7660">
              <w:t>. However this sample point did not for</w:t>
            </w:r>
            <w:r w:rsidR="002A5094">
              <w:t>m</w:t>
            </w:r>
            <w:r w:rsidR="000E7660">
              <w:t xml:space="preserve"> part of the ‘official’ Characterisation.</w:t>
            </w:r>
          </w:p>
        </w:tc>
      </w:tr>
      <w:tr w:rsidR="005C7639" w14:paraId="2E80B350" w14:textId="77777777" w:rsidTr="005C7639">
        <w:tc>
          <w:tcPr>
            <w:tcW w:w="2637" w:type="dxa"/>
          </w:tcPr>
          <w:p w14:paraId="0BB24CDC" w14:textId="77777777" w:rsidR="005C7639" w:rsidRDefault="005C7639" w:rsidP="005C7639">
            <w:pPr>
              <w:pStyle w:val="Tabletext"/>
              <w:rPr>
                <w:b/>
              </w:rPr>
            </w:pPr>
            <w:r>
              <w:rPr>
                <w:b/>
              </w:rPr>
              <w:t xml:space="preserve">Metals failing bioavailable </w:t>
            </w:r>
            <w:commentRangeStart w:id="7"/>
            <w:r>
              <w:rPr>
                <w:b/>
              </w:rPr>
              <w:t>EQS</w:t>
            </w:r>
            <w:commentRangeEnd w:id="7"/>
            <w:r>
              <w:rPr>
                <w:rStyle w:val="CommentReference"/>
              </w:rPr>
              <w:commentReference w:id="7"/>
            </w:r>
          </w:p>
        </w:tc>
        <w:tc>
          <w:tcPr>
            <w:tcW w:w="3387" w:type="dxa"/>
          </w:tcPr>
          <w:p w14:paraId="523B3A22" w14:textId="77777777" w:rsidR="005C7639" w:rsidRDefault="00982B76" w:rsidP="00982B76">
            <w:pPr>
              <w:pStyle w:val="Tabletext"/>
            </w:pPr>
            <w:r>
              <w:t>Zinc, Lead, Cadmium</w:t>
            </w:r>
          </w:p>
        </w:tc>
        <w:tc>
          <w:tcPr>
            <w:tcW w:w="3262" w:type="dxa"/>
          </w:tcPr>
          <w:p w14:paraId="45321C9E" w14:textId="77777777" w:rsidR="005C7639" w:rsidRDefault="005C7639" w:rsidP="003B71B7">
            <w:pPr>
              <w:pStyle w:val="Tabletext"/>
            </w:pPr>
          </w:p>
        </w:tc>
      </w:tr>
      <w:tr w:rsidR="00C61507" w14:paraId="06FEF363" w14:textId="77777777" w:rsidTr="005C7639">
        <w:tc>
          <w:tcPr>
            <w:tcW w:w="2637" w:type="dxa"/>
          </w:tcPr>
          <w:p w14:paraId="1A6BDCB5" w14:textId="77777777" w:rsidR="00C61507" w:rsidRDefault="00C61507" w:rsidP="005C7639">
            <w:pPr>
              <w:pStyle w:val="Tabletext"/>
              <w:rPr>
                <w:b/>
              </w:rPr>
            </w:pPr>
            <w:r>
              <w:rPr>
                <w:b/>
              </w:rPr>
              <w:t xml:space="preserve">Is there an outbreak </w:t>
            </w:r>
            <w:commentRangeStart w:id="8"/>
            <w:r>
              <w:rPr>
                <w:b/>
              </w:rPr>
              <w:t>risk</w:t>
            </w:r>
            <w:commentRangeEnd w:id="8"/>
            <w:r w:rsidR="00F72265">
              <w:rPr>
                <w:rStyle w:val="CommentReference"/>
              </w:rPr>
              <w:commentReference w:id="8"/>
            </w:r>
            <w:r>
              <w:rPr>
                <w:b/>
              </w:rPr>
              <w:t>?</w:t>
            </w:r>
          </w:p>
        </w:tc>
        <w:tc>
          <w:tcPr>
            <w:tcW w:w="3387" w:type="dxa"/>
          </w:tcPr>
          <w:p w14:paraId="36FEBAA9" w14:textId="77777777" w:rsidR="00C61507" w:rsidRDefault="00B97512" w:rsidP="00E67869">
            <w:pPr>
              <w:pStyle w:val="Tabletext"/>
            </w:pPr>
            <w:r>
              <w:t>Pot</w:t>
            </w:r>
            <w:r w:rsidR="00E67869">
              <w:t xml:space="preserve">ential collapse of tailing dam; the retaining wall is in a state of </w:t>
            </w:r>
            <w:r w:rsidR="00E67869">
              <w:lastRenderedPageBreak/>
              <w:t xml:space="preserve">disrepair and during recent flood events has further collapsed. </w:t>
            </w:r>
          </w:p>
          <w:p w14:paraId="654BB3FE" w14:textId="77777777" w:rsidR="00E67869" w:rsidRDefault="00E67869" w:rsidP="00E67869">
            <w:pPr>
              <w:pStyle w:val="Tabletext"/>
            </w:pPr>
            <w:r>
              <w:t>The bricked up adit at coal cleugh may open up, with an on known quantity of water/ ochre and or spoil behind it. Although there is a small flow from it currently.</w:t>
            </w:r>
          </w:p>
        </w:tc>
        <w:tc>
          <w:tcPr>
            <w:tcW w:w="3262" w:type="dxa"/>
          </w:tcPr>
          <w:p w14:paraId="244505DF" w14:textId="77777777" w:rsidR="00C61507" w:rsidRDefault="00E67869" w:rsidP="00E67869">
            <w:pPr>
              <w:pStyle w:val="Tabletext"/>
            </w:pPr>
            <w:r>
              <w:lastRenderedPageBreak/>
              <w:t xml:space="preserve">Work is underway to reduce the likelihood of retaining wall </w:t>
            </w:r>
            <w:r>
              <w:lastRenderedPageBreak/>
              <w:t>collapse.  A more refined characterisation has also looked to quantify the discharge from Coal cleugh adit.</w:t>
            </w:r>
          </w:p>
        </w:tc>
      </w:tr>
      <w:tr w:rsidR="007753AC" w14:paraId="279FBDCF" w14:textId="77777777" w:rsidTr="003B71B7">
        <w:tc>
          <w:tcPr>
            <w:tcW w:w="2637" w:type="dxa"/>
          </w:tcPr>
          <w:p w14:paraId="7DCBD95B" w14:textId="77777777" w:rsidR="007753AC" w:rsidRDefault="007753AC" w:rsidP="003B71B7">
            <w:pPr>
              <w:pStyle w:val="Tabletext"/>
              <w:rPr>
                <w:b/>
              </w:rPr>
            </w:pPr>
            <w:r>
              <w:rPr>
                <w:b/>
              </w:rPr>
              <w:lastRenderedPageBreak/>
              <w:t xml:space="preserve"># of </w:t>
            </w:r>
            <w:commentRangeStart w:id="9"/>
            <w:r>
              <w:rPr>
                <w:b/>
              </w:rPr>
              <w:t>sources</w:t>
            </w:r>
            <w:commentRangeEnd w:id="9"/>
            <w:r>
              <w:rPr>
                <w:rStyle w:val="CommentReference"/>
              </w:rPr>
              <w:commentReference w:id="9"/>
            </w:r>
          </w:p>
        </w:tc>
        <w:tc>
          <w:tcPr>
            <w:tcW w:w="3387" w:type="dxa"/>
          </w:tcPr>
          <w:p w14:paraId="105E6156" w14:textId="77777777" w:rsidR="007753AC" w:rsidRDefault="00A30872" w:rsidP="00A30872">
            <w:pPr>
              <w:pStyle w:val="Tabletext"/>
            </w:pPr>
            <w:r>
              <w:t>3</w:t>
            </w:r>
            <w:r w:rsidR="005B5255">
              <w:t xml:space="preserve"> point sources, </w:t>
            </w:r>
            <w:r w:rsidR="00511690">
              <w:t>4</w:t>
            </w:r>
            <w:r w:rsidR="005B5255">
              <w:t xml:space="preserve"> diffuse inputs.</w:t>
            </w:r>
          </w:p>
        </w:tc>
        <w:tc>
          <w:tcPr>
            <w:tcW w:w="3262" w:type="dxa"/>
          </w:tcPr>
          <w:p w14:paraId="0FC8DBAA" w14:textId="77777777" w:rsidR="00C518B0" w:rsidRDefault="00C518B0" w:rsidP="00511690">
            <w:pPr>
              <w:pStyle w:val="Tabletext"/>
            </w:pPr>
            <w:r>
              <w:t xml:space="preserve">I have included the tailings dam as a diffuse source. </w:t>
            </w:r>
            <w:r w:rsidR="00E67869">
              <w:t>There are also significant diffuse sources at Coal/Alston cleugh and spoil heaps on the left bank</w:t>
            </w:r>
            <w:r w:rsidR="00511690">
              <w:t xml:space="preserve"> opposite the tailings dam</w:t>
            </w:r>
            <w:r w:rsidR="00E67869">
              <w:t>.</w:t>
            </w:r>
            <w:r w:rsidR="00511690">
              <w:t xml:space="preserve"> Remobilisation of sediment is the fourth diffuse source.</w:t>
            </w:r>
          </w:p>
        </w:tc>
      </w:tr>
      <w:tr w:rsidR="008D3E4B" w14:paraId="54D35FA7" w14:textId="77777777" w:rsidTr="005C7639">
        <w:tc>
          <w:tcPr>
            <w:tcW w:w="2637" w:type="dxa"/>
          </w:tcPr>
          <w:p w14:paraId="364178C1" w14:textId="77777777" w:rsidR="008D3E4B" w:rsidRDefault="008D3E4B" w:rsidP="005C7639">
            <w:pPr>
              <w:pStyle w:val="Tabletext"/>
              <w:rPr>
                <w:b/>
              </w:rPr>
            </w:pPr>
            <w:r>
              <w:rPr>
                <w:b/>
              </w:rPr>
              <w:t>Metal loading – point sources (tonne/</w:t>
            </w:r>
            <w:commentRangeStart w:id="10"/>
            <w:r>
              <w:rPr>
                <w:b/>
              </w:rPr>
              <w:t>yr</w:t>
            </w:r>
            <w:commentRangeEnd w:id="10"/>
            <w:r>
              <w:rPr>
                <w:rStyle w:val="CommentReference"/>
              </w:rPr>
              <w:commentReference w:id="10"/>
            </w:r>
            <w:r>
              <w:rPr>
                <w:b/>
              </w:rPr>
              <w:t>)</w:t>
            </w:r>
          </w:p>
        </w:tc>
        <w:tc>
          <w:tcPr>
            <w:tcW w:w="3387" w:type="dxa"/>
          </w:tcPr>
          <w:p w14:paraId="08C253B1" w14:textId="77777777" w:rsidR="00EA628C" w:rsidRDefault="008D3E4B" w:rsidP="008D3E4B">
            <w:pPr>
              <w:pStyle w:val="Tabletext"/>
            </w:pPr>
            <w:r>
              <w:t xml:space="preserve">Zn = </w:t>
            </w:r>
            <w:r w:rsidR="00EA628C">
              <w:t>2.836 – 3.830</w:t>
            </w:r>
          </w:p>
          <w:p w14:paraId="22115D08" w14:textId="77777777" w:rsidR="008D3E4B" w:rsidRDefault="008D3E4B" w:rsidP="008D3E4B">
            <w:pPr>
              <w:pStyle w:val="Tabletext"/>
            </w:pPr>
            <w:r>
              <w:t xml:space="preserve">Cu = </w:t>
            </w:r>
            <w:r w:rsidR="0096481D">
              <w:t>0.00073 – 0.00109</w:t>
            </w:r>
          </w:p>
          <w:p w14:paraId="0F2ACA6F" w14:textId="77777777" w:rsidR="008D3E4B" w:rsidRDefault="008D3E4B" w:rsidP="008D3E4B">
            <w:pPr>
              <w:pStyle w:val="Tabletext"/>
            </w:pPr>
            <w:r>
              <w:t xml:space="preserve">Cd = </w:t>
            </w:r>
            <w:r w:rsidR="0096481D">
              <w:t>0.00365 – 0.00474</w:t>
            </w:r>
          </w:p>
          <w:p w14:paraId="77A4C595" w14:textId="77777777" w:rsidR="008D3E4B" w:rsidRDefault="008D3E4B" w:rsidP="008D3E4B">
            <w:pPr>
              <w:pStyle w:val="Tabletext"/>
            </w:pPr>
            <w:r>
              <w:t xml:space="preserve">Pb = </w:t>
            </w:r>
            <w:r w:rsidR="00247A55">
              <w:t>0.00 – 0.00</w:t>
            </w:r>
          </w:p>
          <w:p w14:paraId="073CED5A" w14:textId="77777777" w:rsidR="008D3E4B" w:rsidRDefault="008D3E4B" w:rsidP="008D3E4B">
            <w:pPr>
              <w:pStyle w:val="Tabletext"/>
            </w:pPr>
            <w:r>
              <w:t>Ni =</w:t>
            </w:r>
            <w:r w:rsidR="00125CF3">
              <w:t xml:space="preserve"> 0.00803 - .01058</w:t>
            </w:r>
          </w:p>
        </w:tc>
        <w:tc>
          <w:tcPr>
            <w:tcW w:w="3262" w:type="dxa"/>
          </w:tcPr>
          <w:p w14:paraId="476A51DD" w14:textId="77777777" w:rsidR="00247A55" w:rsidRDefault="00247A55" w:rsidP="0096481D">
            <w:pPr>
              <w:pStyle w:val="Tabletext"/>
            </w:pPr>
          </w:p>
        </w:tc>
      </w:tr>
      <w:tr w:rsidR="008D3E4B" w14:paraId="39F2D64F" w14:textId="77777777" w:rsidTr="005C7639">
        <w:tc>
          <w:tcPr>
            <w:tcW w:w="2637" w:type="dxa"/>
          </w:tcPr>
          <w:p w14:paraId="4C0977BD" w14:textId="77777777" w:rsidR="008D3E4B" w:rsidRDefault="008D3E4B" w:rsidP="005C7639">
            <w:pPr>
              <w:pStyle w:val="Tabletext"/>
              <w:rPr>
                <w:b/>
              </w:rPr>
            </w:pPr>
            <w:r>
              <w:rPr>
                <w:b/>
              </w:rPr>
              <w:t>Metal loading – river (d/</w:t>
            </w:r>
            <w:commentRangeStart w:id="11"/>
            <w:r>
              <w:rPr>
                <w:b/>
              </w:rPr>
              <w:t>s</w:t>
            </w:r>
            <w:commentRangeEnd w:id="11"/>
            <w:r>
              <w:rPr>
                <w:rStyle w:val="CommentReference"/>
              </w:rPr>
              <w:commentReference w:id="11"/>
            </w:r>
            <w:r>
              <w:rPr>
                <w:b/>
              </w:rPr>
              <w:t>)</w:t>
            </w:r>
          </w:p>
        </w:tc>
        <w:tc>
          <w:tcPr>
            <w:tcW w:w="3387" w:type="dxa"/>
          </w:tcPr>
          <w:p w14:paraId="224360FC" w14:textId="77777777" w:rsidR="008D3E4B" w:rsidRDefault="008D3E4B" w:rsidP="008D3E4B">
            <w:pPr>
              <w:pStyle w:val="Tabletext"/>
            </w:pPr>
            <w:r>
              <w:t xml:space="preserve">Zn = </w:t>
            </w:r>
            <w:r w:rsidR="00AC1E63">
              <w:t>0.584 - 18.097</w:t>
            </w:r>
          </w:p>
          <w:p w14:paraId="0DEC566D" w14:textId="77777777" w:rsidR="008D3E4B" w:rsidRDefault="008D3E4B" w:rsidP="008D3E4B">
            <w:pPr>
              <w:pStyle w:val="Tabletext"/>
            </w:pPr>
            <w:r>
              <w:t xml:space="preserve">Cu = </w:t>
            </w:r>
            <w:r w:rsidR="00AC1E63">
              <w:t>0.0018 – 0.000</w:t>
            </w:r>
          </w:p>
          <w:p w14:paraId="3EBC53E3" w14:textId="77777777" w:rsidR="008D3E4B" w:rsidRDefault="008D3E4B" w:rsidP="008D3E4B">
            <w:pPr>
              <w:pStyle w:val="Tabletext"/>
            </w:pPr>
            <w:r>
              <w:t xml:space="preserve">Cd = </w:t>
            </w:r>
            <w:r w:rsidR="00AC1E63">
              <w:t>0.00219 – 0.045</w:t>
            </w:r>
          </w:p>
          <w:p w14:paraId="59EAFF75" w14:textId="77777777" w:rsidR="008D3E4B" w:rsidRDefault="008D3E4B" w:rsidP="008D3E4B">
            <w:pPr>
              <w:pStyle w:val="Tabletext"/>
            </w:pPr>
            <w:r>
              <w:t xml:space="preserve">Pb = </w:t>
            </w:r>
            <w:r w:rsidR="00AC1E63">
              <w:t>0.000 – 0.346</w:t>
            </w:r>
          </w:p>
          <w:p w14:paraId="27571D19" w14:textId="77777777" w:rsidR="008D3E4B" w:rsidRDefault="008D3E4B" w:rsidP="008D3E4B">
            <w:pPr>
              <w:pStyle w:val="Tabletext"/>
            </w:pPr>
            <w:r>
              <w:t>Ni =</w:t>
            </w:r>
            <w:r w:rsidR="00AC1E63">
              <w:t xml:space="preserve"> 0.00219 – 0.00945</w:t>
            </w:r>
          </w:p>
        </w:tc>
        <w:tc>
          <w:tcPr>
            <w:tcW w:w="3262" w:type="dxa"/>
          </w:tcPr>
          <w:p w14:paraId="540409A5" w14:textId="77777777" w:rsidR="008D3E4B" w:rsidRDefault="00125CF3" w:rsidP="003B71B7">
            <w:pPr>
              <w:pStyle w:val="Tabletext"/>
            </w:pPr>
            <w:r>
              <w:t>Compliance point used is Hindley Wrae ford in the d/s catchment.</w:t>
            </w:r>
          </w:p>
        </w:tc>
      </w:tr>
      <w:tr w:rsidR="005C7639" w14:paraId="0713FECE" w14:textId="77777777" w:rsidTr="005C7639">
        <w:tc>
          <w:tcPr>
            <w:tcW w:w="2637" w:type="dxa"/>
          </w:tcPr>
          <w:p w14:paraId="34146699" w14:textId="5EE4AAB8" w:rsidR="005C7639" w:rsidRDefault="005C7639" w:rsidP="003B71B7">
            <w:pPr>
              <w:pStyle w:val="Tabletext"/>
              <w:rPr>
                <w:b/>
              </w:rPr>
            </w:pPr>
            <w:r>
              <w:rPr>
                <w:b/>
              </w:rPr>
              <w:t xml:space="preserve">How many sources need to be treated to achieve </w:t>
            </w:r>
            <w:commentRangeStart w:id="12"/>
            <w:r>
              <w:rPr>
                <w:b/>
              </w:rPr>
              <w:t>EQS</w:t>
            </w:r>
            <w:commentRangeEnd w:id="12"/>
            <w:r>
              <w:rPr>
                <w:rStyle w:val="CommentReference"/>
              </w:rPr>
              <w:commentReference w:id="12"/>
            </w:r>
            <w:r>
              <w:rPr>
                <w:b/>
              </w:rPr>
              <w:t xml:space="preserve"> (good status</w:t>
            </w:r>
            <w:r w:rsidR="00695ACE">
              <w:rPr>
                <w:b/>
              </w:rPr>
              <w:t>)?</w:t>
            </w:r>
          </w:p>
        </w:tc>
        <w:tc>
          <w:tcPr>
            <w:tcW w:w="3387" w:type="dxa"/>
          </w:tcPr>
          <w:p w14:paraId="0DB0C384" w14:textId="77777777" w:rsidR="005C7639" w:rsidRDefault="005C7639" w:rsidP="003B71B7">
            <w:pPr>
              <w:pStyle w:val="Tabletext"/>
            </w:pPr>
          </w:p>
        </w:tc>
        <w:tc>
          <w:tcPr>
            <w:tcW w:w="3262" w:type="dxa"/>
          </w:tcPr>
          <w:p w14:paraId="514960D0" w14:textId="77777777" w:rsidR="005C7639" w:rsidRDefault="005C7639" w:rsidP="003B71B7">
            <w:pPr>
              <w:pStyle w:val="Tabletext"/>
            </w:pPr>
          </w:p>
        </w:tc>
      </w:tr>
      <w:tr w:rsidR="005C7639" w14:paraId="462593AA" w14:textId="77777777" w:rsidTr="005C7639">
        <w:tc>
          <w:tcPr>
            <w:tcW w:w="2637" w:type="dxa"/>
          </w:tcPr>
          <w:p w14:paraId="2522E640" w14:textId="77777777" w:rsidR="005C7639" w:rsidRDefault="005C7639" w:rsidP="003B71B7">
            <w:pPr>
              <w:pStyle w:val="Tabletext"/>
              <w:rPr>
                <w:b/>
              </w:rPr>
            </w:pPr>
            <w:r>
              <w:rPr>
                <w:b/>
              </w:rPr>
              <w:t>Length of river improved by treatment (km)</w:t>
            </w:r>
          </w:p>
        </w:tc>
        <w:tc>
          <w:tcPr>
            <w:tcW w:w="3387" w:type="dxa"/>
          </w:tcPr>
          <w:p w14:paraId="46E7EEAE" w14:textId="77777777" w:rsidR="00511690" w:rsidRDefault="00511690" w:rsidP="003B71B7">
            <w:pPr>
              <w:pStyle w:val="Tabletext"/>
            </w:pPr>
            <w:r>
              <w:t>14.5km</w:t>
            </w:r>
          </w:p>
          <w:p w14:paraId="4ABC6359" w14:textId="77777777" w:rsidR="005C7639" w:rsidRDefault="00511690" w:rsidP="003B71B7">
            <w:pPr>
              <w:pStyle w:val="Tabletext"/>
            </w:pPr>
            <w:r>
              <w:t>41km</w:t>
            </w:r>
          </w:p>
        </w:tc>
        <w:tc>
          <w:tcPr>
            <w:tcW w:w="3262" w:type="dxa"/>
          </w:tcPr>
          <w:p w14:paraId="383C3AE1" w14:textId="24D51FA0" w:rsidR="00511690" w:rsidRDefault="00695ACE" w:rsidP="003B71B7">
            <w:pPr>
              <w:pStyle w:val="Tabletext"/>
            </w:pPr>
            <w:r>
              <w:t>Dependant on the c</w:t>
            </w:r>
            <w:r w:rsidR="00511690">
              <w:t xml:space="preserve">ost </w:t>
            </w:r>
          </w:p>
          <w:p w14:paraId="79AB92A4" w14:textId="77777777" w:rsidR="005C7639" w:rsidRDefault="00511690" w:rsidP="003B71B7">
            <w:pPr>
              <w:pStyle w:val="Tabletext"/>
            </w:pPr>
            <w:r>
              <w:t>benefit used as below.</w:t>
            </w:r>
          </w:p>
        </w:tc>
      </w:tr>
      <w:tr w:rsidR="005C7639" w14:paraId="31C19D69" w14:textId="77777777" w:rsidTr="005C7639">
        <w:tc>
          <w:tcPr>
            <w:tcW w:w="2637" w:type="dxa"/>
          </w:tcPr>
          <w:p w14:paraId="2A9EC4CA" w14:textId="77777777" w:rsidR="005C7639" w:rsidRDefault="005C7639" w:rsidP="003B71B7">
            <w:pPr>
              <w:pStyle w:val="Tabletext"/>
              <w:rPr>
                <w:b/>
              </w:rPr>
            </w:pPr>
            <w:r>
              <w:rPr>
                <w:b/>
              </w:rPr>
              <w:t>NWEBS benefit (£m over 25 years)</w:t>
            </w:r>
          </w:p>
        </w:tc>
        <w:tc>
          <w:tcPr>
            <w:tcW w:w="3387" w:type="dxa"/>
          </w:tcPr>
          <w:p w14:paraId="27F03FAB" w14:textId="77777777" w:rsidR="005C7639" w:rsidRDefault="00A30872" w:rsidP="00BD6FDA">
            <w:pPr>
              <w:pStyle w:val="Tabletext"/>
            </w:pPr>
            <w:r>
              <w:t>£</w:t>
            </w:r>
            <w:r w:rsidR="00BD6FDA">
              <w:t>2.6</w:t>
            </w:r>
            <w:r>
              <w:t>m</w:t>
            </w:r>
          </w:p>
          <w:p w14:paraId="46C74522" w14:textId="77777777" w:rsidR="00BD6FDA" w:rsidRDefault="00BD6FDA" w:rsidP="00BD6FDA">
            <w:pPr>
              <w:pStyle w:val="Tabletext"/>
            </w:pPr>
          </w:p>
          <w:p w14:paraId="65B4042A" w14:textId="77777777" w:rsidR="00BD6FDA" w:rsidRDefault="00BD6FDA" w:rsidP="00BD6FDA">
            <w:pPr>
              <w:pStyle w:val="Tabletext"/>
            </w:pPr>
          </w:p>
          <w:p w14:paraId="46109ECB" w14:textId="77777777" w:rsidR="00BD6FDA" w:rsidRDefault="00BD6FDA" w:rsidP="00BD6FDA">
            <w:pPr>
              <w:pStyle w:val="Tabletext"/>
            </w:pPr>
          </w:p>
          <w:p w14:paraId="06A89BEE" w14:textId="77777777" w:rsidR="00BD6FDA" w:rsidRDefault="00BD6FDA" w:rsidP="00BD6FDA">
            <w:pPr>
              <w:pStyle w:val="Tabletext"/>
            </w:pPr>
          </w:p>
          <w:p w14:paraId="0D72A632" w14:textId="77777777" w:rsidR="00BD6FDA" w:rsidRDefault="00BD6FDA" w:rsidP="00BD6FDA">
            <w:pPr>
              <w:pStyle w:val="Tabletext"/>
            </w:pPr>
          </w:p>
          <w:p w14:paraId="025E9081" w14:textId="77777777" w:rsidR="00BD6FDA" w:rsidRDefault="00BD6FDA" w:rsidP="00BD6FDA">
            <w:pPr>
              <w:pStyle w:val="Tabletext"/>
            </w:pPr>
          </w:p>
          <w:p w14:paraId="00DA4B28" w14:textId="77777777" w:rsidR="00BD6FDA" w:rsidRDefault="00BD6FDA" w:rsidP="00BD6FDA">
            <w:pPr>
              <w:pStyle w:val="Tabletext"/>
            </w:pPr>
          </w:p>
          <w:p w14:paraId="5181EA0A" w14:textId="77777777" w:rsidR="00BD6FDA" w:rsidRDefault="00BD6FDA" w:rsidP="00BD6FDA">
            <w:pPr>
              <w:pStyle w:val="Tabletext"/>
            </w:pPr>
            <w:r>
              <w:t>£7.5m</w:t>
            </w:r>
          </w:p>
        </w:tc>
        <w:tc>
          <w:tcPr>
            <w:tcW w:w="3262" w:type="dxa"/>
          </w:tcPr>
          <w:p w14:paraId="7FFC6E6B" w14:textId="67DBA4B0" w:rsidR="005C7639" w:rsidRDefault="00BD6FDA" w:rsidP="00BD6FDA">
            <w:pPr>
              <w:pStyle w:val="Tabletext"/>
            </w:pPr>
            <w:r>
              <w:t>These are the benefits realised (BAG) for Water quality improvement in the West Allen from source to Wellhop</w:t>
            </w:r>
            <w:r w:rsidR="00695ACE">
              <w:t>e</w:t>
            </w:r>
            <w:r>
              <w:t xml:space="preserve"> burn and Wellhope burn to </w:t>
            </w:r>
            <w:r w:rsidR="00695ACE">
              <w:t>Allen. There</w:t>
            </w:r>
            <w:r>
              <w:t xml:space="preserve"> is a separate be</w:t>
            </w:r>
            <w:r w:rsidR="00A30872">
              <w:t>nefits assessment</w:t>
            </w:r>
            <w:r w:rsidR="004705D8">
              <w:t xml:space="preserve"> </w:t>
            </w:r>
            <w:r w:rsidR="00A30872">
              <w:t>relatin</w:t>
            </w:r>
            <w:r>
              <w:t>g to the Tyne sediments</w:t>
            </w:r>
            <w:r w:rsidR="00A30872">
              <w:t xml:space="preserve"> of which these discharges</w:t>
            </w:r>
            <w:r>
              <w:t xml:space="preserve"> and inputs</w:t>
            </w:r>
            <w:r w:rsidR="00A30872">
              <w:t xml:space="preserve"> play a key part.</w:t>
            </w:r>
          </w:p>
          <w:p w14:paraId="12250871" w14:textId="1B7EFFDA" w:rsidR="00BD6FDA" w:rsidRDefault="00BD6FDA" w:rsidP="00BD6FDA">
            <w:pPr>
              <w:pStyle w:val="Tabletext"/>
            </w:pPr>
            <w:r>
              <w:t xml:space="preserve">These are the benefits realised (NWEBS) </w:t>
            </w:r>
            <w:r w:rsidR="00511690">
              <w:t xml:space="preserve">for all impacted </w:t>
            </w:r>
            <w:r w:rsidR="00695ACE">
              <w:t>water bodies</w:t>
            </w:r>
            <w:r w:rsidR="00511690">
              <w:t xml:space="preserve"> downstream of the inputs up to and including the South Tyne.</w:t>
            </w:r>
          </w:p>
        </w:tc>
      </w:tr>
      <w:tr w:rsidR="005C7639" w14:paraId="60C998C5" w14:textId="77777777" w:rsidTr="005C7639">
        <w:tc>
          <w:tcPr>
            <w:tcW w:w="2637" w:type="dxa"/>
          </w:tcPr>
          <w:p w14:paraId="6BC08E1F" w14:textId="77777777" w:rsidR="005C7639" w:rsidRDefault="008D3E4B" w:rsidP="003B71B7">
            <w:pPr>
              <w:pStyle w:val="Tabletext"/>
              <w:rPr>
                <w:b/>
              </w:rPr>
            </w:pPr>
            <w:r>
              <w:rPr>
                <w:b/>
              </w:rPr>
              <w:t xml:space="preserve">Potential contribution from </w:t>
            </w:r>
            <w:commentRangeStart w:id="13"/>
            <w:r>
              <w:rPr>
                <w:b/>
              </w:rPr>
              <w:t>others</w:t>
            </w:r>
            <w:commentRangeEnd w:id="13"/>
            <w:r>
              <w:rPr>
                <w:rStyle w:val="CommentReference"/>
              </w:rPr>
              <w:commentReference w:id="13"/>
            </w:r>
            <w:r>
              <w:rPr>
                <w:b/>
              </w:rPr>
              <w:t>?</w:t>
            </w:r>
          </w:p>
        </w:tc>
        <w:tc>
          <w:tcPr>
            <w:tcW w:w="3387" w:type="dxa"/>
          </w:tcPr>
          <w:p w14:paraId="55193851" w14:textId="77777777" w:rsidR="005C7639" w:rsidRDefault="005C7639" w:rsidP="003B71B7">
            <w:pPr>
              <w:pStyle w:val="Tabletext"/>
            </w:pPr>
          </w:p>
        </w:tc>
        <w:tc>
          <w:tcPr>
            <w:tcW w:w="3262" w:type="dxa"/>
          </w:tcPr>
          <w:p w14:paraId="43925B69" w14:textId="77777777" w:rsidR="005C7639" w:rsidRDefault="005C7639" w:rsidP="003B71B7">
            <w:pPr>
              <w:pStyle w:val="Tabletext"/>
            </w:pPr>
          </w:p>
        </w:tc>
      </w:tr>
    </w:tbl>
    <w:p w14:paraId="30F69E4D" w14:textId="77777777" w:rsidR="00DA6D8F" w:rsidRDefault="00DA6D8F" w:rsidP="00261ED1">
      <w:pPr>
        <w:rPr>
          <w:b/>
          <w:sz w:val="28"/>
          <w:szCs w:val="28"/>
        </w:rPr>
      </w:pPr>
    </w:p>
    <w:p w14:paraId="0023B68F" w14:textId="77777777" w:rsidR="008D3E4B" w:rsidRPr="008D3E4B" w:rsidRDefault="008D3E4B" w:rsidP="008D3E4B">
      <w:pPr>
        <w:pStyle w:val="Humber-Heading1"/>
        <w:outlineLvl w:val="0"/>
      </w:pPr>
      <w:r w:rsidRPr="008D3E4B">
        <w:t>Recommendations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3242"/>
        <w:gridCol w:w="3242"/>
      </w:tblGrid>
      <w:tr w:rsidR="001D409F" w:rsidRPr="001D409F" w14:paraId="135E36F1" w14:textId="77777777" w:rsidTr="008D3E4B">
        <w:tc>
          <w:tcPr>
            <w:tcW w:w="2802" w:type="dxa"/>
          </w:tcPr>
          <w:p w14:paraId="751F4378" w14:textId="77777777" w:rsidR="001D409F" w:rsidRPr="001D409F" w:rsidRDefault="001D409F" w:rsidP="003B71B7">
            <w:pPr>
              <w:pStyle w:val="Tabletext"/>
              <w:rPr>
                <w:b/>
              </w:rPr>
            </w:pPr>
            <w:r w:rsidRPr="001D409F">
              <w:rPr>
                <w:b/>
              </w:rPr>
              <w:t>Options</w:t>
            </w:r>
          </w:p>
        </w:tc>
        <w:tc>
          <w:tcPr>
            <w:tcW w:w="6484" w:type="dxa"/>
            <w:gridSpan w:val="2"/>
          </w:tcPr>
          <w:p w14:paraId="4B6C4349" w14:textId="77777777" w:rsidR="001D409F" w:rsidRPr="001D409F" w:rsidRDefault="001D409F" w:rsidP="001D409F">
            <w:pPr>
              <w:jc w:val="left"/>
              <w:rPr>
                <w:b/>
              </w:rPr>
            </w:pPr>
            <w:r w:rsidRPr="001D409F">
              <w:rPr>
                <w:b/>
              </w:rPr>
              <w:t>Comment</w:t>
            </w:r>
          </w:p>
        </w:tc>
      </w:tr>
      <w:tr w:rsidR="00A17D5A" w:rsidRPr="001D409F" w14:paraId="4838CA9E" w14:textId="77777777" w:rsidTr="003B71B7">
        <w:tc>
          <w:tcPr>
            <w:tcW w:w="9286" w:type="dxa"/>
            <w:gridSpan w:val="3"/>
          </w:tcPr>
          <w:p w14:paraId="206E72DA" w14:textId="77777777" w:rsidR="00A17D5A" w:rsidRPr="00A17D5A" w:rsidRDefault="00A17D5A" w:rsidP="001D409F">
            <w:pPr>
              <w:jc w:val="left"/>
              <w:rPr>
                <w:b/>
                <w:i/>
              </w:rPr>
            </w:pPr>
            <w:r w:rsidRPr="00A17D5A">
              <w:rPr>
                <w:b/>
                <w:i/>
              </w:rPr>
              <w:lastRenderedPageBreak/>
              <w:t>SWMI review</w:t>
            </w:r>
          </w:p>
        </w:tc>
      </w:tr>
      <w:tr w:rsidR="00861296" w:rsidRPr="001D409F" w14:paraId="6793AC3B" w14:textId="77777777" w:rsidTr="008D3E4B">
        <w:tc>
          <w:tcPr>
            <w:tcW w:w="2802" w:type="dxa"/>
          </w:tcPr>
          <w:p w14:paraId="45C1FCCB" w14:textId="77777777" w:rsidR="00861296" w:rsidRPr="001D409F" w:rsidRDefault="00861296" w:rsidP="003B71B7">
            <w:pPr>
              <w:pStyle w:val="Tabletext"/>
              <w:rPr>
                <w:b/>
              </w:rPr>
            </w:pPr>
            <w:r>
              <w:rPr>
                <w:b/>
              </w:rPr>
              <w:t>Confirmed pollution from metal mines</w:t>
            </w:r>
            <w:r w:rsidR="00A17D5A">
              <w:rPr>
                <w:b/>
              </w:rPr>
              <w:t>:</w:t>
            </w:r>
          </w:p>
        </w:tc>
        <w:tc>
          <w:tcPr>
            <w:tcW w:w="6484" w:type="dxa"/>
            <w:gridSpan w:val="2"/>
          </w:tcPr>
          <w:p w14:paraId="3E0BD914" w14:textId="77777777" w:rsidR="00861296" w:rsidRPr="00861296" w:rsidRDefault="00861296" w:rsidP="001D409F">
            <w:pPr>
              <w:jc w:val="left"/>
            </w:pPr>
            <w:r w:rsidRPr="00861296">
              <w:t xml:space="preserve">Recommend </w:t>
            </w:r>
            <w:r w:rsidR="00A17D5A">
              <w:t xml:space="preserve">for </w:t>
            </w:r>
            <w:r w:rsidRPr="00861296">
              <w:t>source apportionment study</w:t>
            </w:r>
            <w:r w:rsidR="00A17D5A">
              <w:t>, and identify monitoring locations.</w:t>
            </w:r>
          </w:p>
        </w:tc>
      </w:tr>
      <w:tr w:rsidR="00861296" w:rsidRPr="001D409F" w14:paraId="2DE1E50F" w14:textId="77777777" w:rsidTr="008D3E4B">
        <w:tc>
          <w:tcPr>
            <w:tcW w:w="2802" w:type="dxa"/>
          </w:tcPr>
          <w:p w14:paraId="274336B7" w14:textId="77777777" w:rsidR="00861296" w:rsidRDefault="00861296" w:rsidP="003B71B7">
            <w:pPr>
              <w:pStyle w:val="Tabletext"/>
              <w:rPr>
                <w:b/>
              </w:rPr>
            </w:pPr>
          </w:p>
        </w:tc>
        <w:tc>
          <w:tcPr>
            <w:tcW w:w="6484" w:type="dxa"/>
            <w:gridSpan w:val="2"/>
          </w:tcPr>
          <w:p w14:paraId="5896D7CE" w14:textId="77777777" w:rsidR="00A17D5A" w:rsidRPr="00861296" w:rsidRDefault="00A17D5A" w:rsidP="00FF4AAC">
            <w:pPr>
              <w:jc w:val="left"/>
            </w:pPr>
          </w:p>
        </w:tc>
      </w:tr>
      <w:tr w:rsidR="00A17D5A" w14:paraId="544D6F57" w14:textId="77777777" w:rsidTr="003B71B7">
        <w:tc>
          <w:tcPr>
            <w:tcW w:w="9286" w:type="dxa"/>
            <w:gridSpan w:val="3"/>
          </w:tcPr>
          <w:p w14:paraId="4E1D4784" w14:textId="77777777" w:rsidR="00A17D5A" w:rsidRDefault="00A17D5A" w:rsidP="003B71B7">
            <w:pPr>
              <w:jc w:val="left"/>
            </w:pPr>
            <w:r>
              <w:rPr>
                <w:b/>
                <w:i/>
              </w:rPr>
              <w:t>Source apportionment study</w:t>
            </w:r>
          </w:p>
        </w:tc>
      </w:tr>
      <w:tr w:rsidR="00A17D5A" w14:paraId="028C6821" w14:textId="77777777" w:rsidTr="003B71B7">
        <w:tc>
          <w:tcPr>
            <w:tcW w:w="2802" w:type="dxa"/>
          </w:tcPr>
          <w:p w14:paraId="39B53506" w14:textId="77777777" w:rsidR="00A17D5A" w:rsidRDefault="00A17D5A" w:rsidP="003B71B7">
            <w:pPr>
              <w:pStyle w:val="Tabletext"/>
              <w:rPr>
                <w:b/>
              </w:rPr>
            </w:pPr>
            <w:r>
              <w:rPr>
                <w:b/>
              </w:rPr>
              <w:t xml:space="preserve">Monitor: </w:t>
            </w:r>
          </w:p>
          <w:p w14:paraId="77BFE78A" w14:textId="77777777" w:rsidR="00A17D5A" w:rsidRDefault="00A17D5A" w:rsidP="003B71B7">
            <w:pPr>
              <w:pStyle w:val="Tabletext"/>
              <w:rPr>
                <w:b/>
              </w:rPr>
            </w:pPr>
            <w:commentRangeStart w:id="14"/>
            <w:r>
              <w:rPr>
                <w:b/>
              </w:rPr>
              <w:t>sources not defined, more monitoring needed</w:t>
            </w:r>
            <w:commentRangeEnd w:id="14"/>
            <w:r>
              <w:rPr>
                <w:rStyle w:val="CommentReference"/>
              </w:rPr>
              <w:commentReference w:id="14"/>
            </w:r>
          </w:p>
        </w:tc>
        <w:tc>
          <w:tcPr>
            <w:tcW w:w="6484" w:type="dxa"/>
            <w:gridSpan w:val="2"/>
          </w:tcPr>
          <w:p w14:paraId="18229A76" w14:textId="77777777" w:rsidR="00A17D5A" w:rsidRDefault="00A17D5A" w:rsidP="003B71B7">
            <w:pPr>
              <w:jc w:val="left"/>
            </w:pPr>
          </w:p>
        </w:tc>
      </w:tr>
      <w:tr w:rsidR="008D3E4B" w14:paraId="3F52139F" w14:textId="77777777" w:rsidTr="008D3E4B">
        <w:tc>
          <w:tcPr>
            <w:tcW w:w="2802" w:type="dxa"/>
          </w:tcPr>
          <w:p w14:paraId="5F83637F" w14:textId="77777777" w:rsidR="008D3E4B" w:rsidRDefault="00782BBF" w:rsidP="00782BBF">
            <w:pPr>
              <w:pStyle w:val="Tabletext"/>
              <w:rPr>
                <w:b/>
              </w:rPr>
            </w:pPr>
            <w:commentRangeStart w:id="15"/>
            <w:r>
              <w:rPr>
                <w:b/>
              </w:rPr>
              <w:t>Fe</w:t>
            </w:r>
            <w:r w:rsidR="008D3E4B">
              <w:rPr>
                <w:b/>
              </w:rPr>
              <w:t>asibility</w:t>
            </w:r>
            <w:commentRangeEnd w:id="15"/>
            <w:r>
              <w:rPr>
                <w:b/>
              </w:rPr>
              <w:t>:</w:t>
            </w:r>
            <w:r w:rsidR="008D3E4B">
              <w:rPr>
                <w:rStyle w:val="CommentReference"/>
              </w:rPr>
              <w:commentReference w:id="15"/>
            </w:r>
            <w:r>
              <w:rPr>
                <w:b/>
              </w:rPr>
              <w:t xml:space="preserve"> </w:t>
            </w:r>
          </w:p>
          <w:p w14:paraId="4E8CF11B" w14:textId="77777777" w:rsidR="00782BBF" w:rsidRDefault="00782BBF" w:rsidP="00782BBF">
            <w:pPr>
              <w:pStyle w:val="Tabletext"/>
              <w:rPr>
                <w:b/>
              </w:rPr>
            </w:pPr>
            <w:r>
              <w:rPr>
                <w:b/>
              </w:rPr>
              <w:t>sources defined, pass to Coal Authority for scoping stage</w:t>
            </w:r>
          </w:p>
        </w:tc>
        <w:tc>
          <w:tcPr>
            <w:tcW w:w="6484" w:type="dxa"/>
            <w:gridSpan w:val="2"/>
          </w:tcPr>
          <w:p w14:paraId="100A6DDB" w14:textId="77777777" w:rsidR="008D3E4B" w:rsidRDefault="008D3E4B" w:rsidP="008D3E4B">
            <w:pPr>
              <w:pStyle w:val="ListParagraph"/>
              <w:numPr>
                <w:ilvl w:val="0"/>
                <w:numId w:val="18"/>
              </w:numPr>
              <w:ind w:left="357" w:hanging="357"/>
              <w:jc w:val="left"/>
            </w:pPr>
            <w:r>
              <w:t>The main sources of Zn and Cd are:</w:t>
            </w:r>
          </w:p>
          <w:p w14:paraId="7B252440" w14:textId="77777777" w:rsidR="00782BBF" w:rsidRDefault="00FF4AAC" w:rsidP="008D3E4B">
            <w:pPr>
              <w:numPr>
                <w:ilvl w:val="1"/>
                <w:numId w:val="17"/>
              </w:numPr>
              <w:jc w:val="left"/>
            </w:pPr>
            <w:r>
              <w:t>Barney Craig (dry weather)</w:t>
            </w:r>
          </w:p>
          <w:p w14:paraId="5AECA635" w14:textId="44365C6D" w:rsidR="00782BBF" w:rsidRDefault="00695ACE" w:rsidP="008D3E4B">
            <w:pPr>
              <w:numPr>
                <w:ilvl w:val="1"/>
                <w:numId w:val="17"/>
              </w:numPr>
              <w:jc w:val="left"/>
            </w:pPr>
            <w:r>
              <w:t>Tailings</w:t>
            </w:r>
            <w:r w:rsidR="00FF4AAC">
              <w:t xml:space="preserve"> dam (Wet weather)</w:t>
            </w:r>
          </w:p>
          <w:p w14:paraId="43B11BF1" w14:textId="77777777" w:rsidR="00FF4AAC" w:rsidRDefault="00FF4AAC" w:rsidP="008D3E4B">
            <w:pPr>
              <w:numPr>
                <w:ilvl w:val="1"/>
                <w:numId w:val="17"/>
              </w:numPr>
              <w:jc w:val="left"/>
            </w:pPr>
            <w:r>
              <w:t>Sediment remobilisation (Wet weather)</w:t>
            </w:r>
          </w:p>
          <w:p w14:paraId="7C89BA79" w14:textId="77777777" w:rsidR="008D3E4B" w:rsidRDefault="008D3E4B" w:rsidP="008D3E4B">
            <w:pPr>
              <w:ind w:left="1440"/>
            </w:pPr>
          </w:p>
          <w:p w14:paraId="167305B7" w14:textId="77777777" w:rsidR="00A85B72" w:rsidRDefault="008D3E4B" w:rsidP="008D3E4B">
            <w:pPr>
              <w:pStyle w:val="ListParagraph"/>
              <w:numPr>
                <w:ilvl w:val="0"/>
                <w:numId w:val="18"/>
              </w:numPr>
              <w:ind w:left="357" w:hanging="357"/>
              <w:jc w:val="left"/>
            </w:pPr>
            <w:r>
              <w:t>Pb arises from</w:t>
            </w:r>
            <w:r w:rsidR="00C8096F">
              <w:t xml:space="preserve"> three</w:t>
            </w:r>
            <w:r>
              <w:t xml:space="preserve"> main</w:t>
            </w:r>
          </w:p>
          <w:p w14:paraId="4AC3B090" w14:textId="55AEF00E" w:rsidR="008D3E4B" w:rsidRDefault="008D3E4B" w:rsidP="008D3E4B">
            <w:pPr>
              <w:pStyle w:val="ListParagraph"/>
              <w:numPr>
                <w:ilvl w:val="0"/>
                <w:numId w:val="18"/>
              </w:numPr>
              <w:ind w:left="357" w:hanging="357"/>
              <w:jc w:val="left"/>
            </w:pPr>
            <w:r>
              <w:t xml:space="preserve"> diffuse sources:</w:t>
            </w:r>
          </w:p>
          <w:p w14:paraId="505960D9" w14:textId="2892A78D" w:rsidR="008D3E4B" w:rsidRDefault="00A85B72" w:rsidP="008D3E4B">
            <w:pPr>
              <w:numPr>
                <w:ilvl w:val="1"/>
                <w:numId w:val="17"/>
              </w:numPr>
              <w:jc w:val="left"/>
            </w:pPr>
            <w:r>
              <w:t>MWD site 1029 Coal c</w:t>
            </w:r>
            <w:r w:rsidR="00FF4AAC">
              <w:t>leugh</w:t>
            </w:r>
          </w:p>
          <w:p w14:paraId="0FE54B30" w14:textId="77777777" w:rsidR="008D3E4B" w:rsidRDefault="00C8096F" w:rsidP="008D3E4B">
            <w:pPr>
              <w:numPr>
                <w:ilvl w:val="1"/>
                <w:numId w:val="17"/>
              </w:numPr>
              <w:jc w:val="left"/>
            </w:pPr>
            <w:r>
              <w:t>Tailings dam</w:t>
            </w:r>
          </w:p>
          <w:p w14:paraId="6A82288E" w14:textId="77777777" w:rsidR="00C8096F" w:rsidRDefault="00C8096F" w:rsidP="008D3E4B">
            <w:pPr>
              <w:numPr>
                <w:ilvl w:val="1"/>
                <w:numId w:val="17"/>
              </w:numPr>
              <w:jc w:val="left"/>
            </w:pPr>
            <w:r>
              <w:t>Sediment remobilisation</w:t>
            </w:r>
          </w:p>
          <w:p w14:paraId="1E5AD1AA" w14:textId="77777777" w:rsidR="008D3E4B" w:rsidRDefault="008D3E4B" w:rsidP="008D3E4B">
            <w:pPr>
              <w:ind w:left="1440"/>
            </w:pPr>
          </w:p>
          <w:p w14:paraId="1D2A26D3" w14:textId="77777777" w:rsidR="008D3E4B" w:rsidRDefault="00782BBF" w:rsidP="008D3E4B">
            <w:pPr>
              <w:pStyle w:val="ListParagraph"/>
              <w:numPr>
                <w:ilvl w:val="0"/>
                <w:numId w:val="18"/>
              </w:numPr>
              <w:ind w:left="357" w:hanging="357"/>
              <w:jc w:val="left"/>
            </w:pPr>
            <w:r>
              <w:t>Scoping study should focus on:</w:t>
            </w:r>
            <w:r w:rsidR="008D3E4B">
              <w:t xml:space="preserve"> </w:t>
            </w:r>
          </w:p>
          <w:p w14:paraId="75202BBD" w14:textId="77777777" w:rsidR="00C8096F" w:rsidRDefault="00C8096F" w:rsidP="00C8096F">
            <w:pPr>
              <w:numPr>
                <w:ilvl w:val="1"/>
                <w:numId w:val="17"/>
              </w:numPr>
              <w:jc w:val="left"/>
            </w:pPr>
            <w:r>
              <w:t>Barney Craig mine water</w:t>
            </w:r>
          </w:p>
          <w:p w14:paraId="6E3AEF9D" w14:textId="77777777" w:rsidR="00782BBF" w:rsidRDefault="00C8096F" w:rsidP="00C8096F">
            <w:pPr>
              <w:numPr>
                <w:ilvl w:val="1"/>
                <w:numId w:val="17"/>
              </w:numPr>
              <w:jc w:val="left"/>
            </w:pPr>
            <w:r>
              <w:t>Carrshields tailings dam</w:t>
            </w:r>
          </w:p>
          <w:p w14:paraId="61A46A31" w14:textId="7B8AC9F7" w:rsidR="00A85B72" w:rsidRDefault="00A85B72" w:rsidP="00C8096F">
            <w:pPr>
              <w:numPr>
                <w:ilvl w:val="1"/>
                <w:numId w:val="17"/>
              </w:numPr>
              <w:jc w:val="left"/>
            </w:pPr>
            <w:r>
              <w:t>Coal cleugh adit</w:t>
            </w:r>
          </w:p>
          <w:p w14:paraId="660740E9" w14:textId="77777777" w:rsidR="008D3E4B" w:rsidRDefault="008D3E4B" w:rsidP="00782BBF">
            <w:pPr>
              <w:ind w:left="726"/>
              <w:jc w:val="left"/>
            </w:pPr>
          </w:p>
        </w:tc>
      </w:tr>
      <w:tr w:rsidR="008D3E4B" w14:paraId="7A81CC77" w14:textId="77777777" w:rsidTr="008D3E4B">
        <w:tc>
          <w:tcPr>
            <w:tcW w:w="2802" w:type="dxa"/>
          </w:tcPr>
          <w:p w14:paraId="4AC78098" w14:textId="77777777" w:rsidR="002C6BC0" w:rsidRDefault="002C6BC0" w:rsidP="002C6BC0">
            <w:pPr>
              <w:pStyle w:val="Tabletext"/>
              <w:rPr>
                <w:b/>
              </w:rPr>
            </w:pPr>
            <w:r>
              <w:rPr>
                <w:b/>
              </w:rPr>
              <w:t>Suspend:</w:t>
            </w:r>
          </w:p>
          <w:p w14:paraId="629D2C25" w14:textId="77777777" w:rsidR="008D3E4B" w:rsidRDefault="002C6BC0" w:rsidP="002C6BC0">
            <w:pPr>
              <w:pStyle w:val="Tabletext"/>
              <w:rPr>
                <w:b/>
              </w:rPr>
            </w:pPr>
            <w:r>
              <w:rPr>
                <w:b/>
              </w:rPr>
              <w:t>s</w:t>
            </w:r>
            <w:r w:rsidR="008D3E4B">
              <w:rPr>
                <w:b/>
              </w:rPr>
              <w:t>ources too complicated, not feasible with current technology/costs</w:t>
            </w:r>
          </w:p>
        </w:tc>
        <w:tc>
          <w:tcPr>
            <w:tcW w:w="6484" w:type="dxa"/>
            <w:gridSpan w:val="2"/>
          </w:tcPr>
          <w:p w14:paraId="42B37AFB" w14:textId="77777777" w:rsidR="008D3E4B" w:rsidRDefault="008D3E4B" w:rsidP="008D3E4B">
            <w:pPr>
              <w:jc w:val="left"/>
            </w:pPr>
          </w:p>
        </w:tc>
      </w:tr>
      <w:tr w:rsidR="002C6BC0" w14:paraId="40D18992" w14:textId="77777777" w:rsidTr="003B71B7">
        <w:tc>
          <w:tcPr>
            <w:tcW w:w="2802" w:type="dxa"/>
          </w:tcPr>
          <w:p w14:paraId="608DF6E7" w14:textId="77777777" w:rsidR="002C6BC0" w:rsidRDefault="002C6BC0" w:rsidP="003B71B7">
            <w:pPr>
              <w:pStyle w:val="Tabletext"/>
              <w:rPr>
                <w:b/>
              </w:rPr>
            </w:pPr>
            <w:r>
              <w:rPr>
                <w:b/>
              </w:rPr>
              <w:t>National delivery team decision</w:t>
            </w:r>
          </w:p>
        </w:tc>
        <w:tc>
          <w:tcPr>
            <w:tcW w:w="3242" w:type="dxa"/>
          </w:tcPr>
          <w:p w14:paraId="4145D78E" w14:textId="77777777" w:rsidR="002C6BC0" w:rsidRDefault="002C6BC0" w:rsidP="008D3E4B">
            <w:pPr>
              <w:jc w:val="left"/>
            </w:pPr>
          </w:p>
        </w:tc>
        <w:tc>
          <w:tcPr>
            <w:tcW w:w="3242" w:type="dxa"/>
          </w:tcPr>
          <w:p w14:paraId="2F6B420C" w14:textId="77777777" w:rsidR="002C6BC0" w:rsidRPr="002C6BC0" w:rsidRDefault="002C6BC0" w:rsidP="008D3E4B">
            <w:pPr>
              <w:jc w:val="left"/>
              <w:rPr>
                <w:b/>
              </w:rPr>
            </w:pPr>
            <w:commentRangeStart w:id="16"/>
            <w:r w:rsidRPr="002C6BC0">
              <w:rPr>
                <w:b/>
              </w:rPr>
              <w:t>Priority</w:t>
            </w:r>
            <w:commentRangeEnd w:id="16"/>
            <w:r>
              <w:rPr>
                <w:rStyle w:val="CommentReference"/>
              </w:rPr>
              <w:commentReference w:id="16"/>
            </w:r>
          </w:p>
        </w:tc>
      </w:tr>
    </w:tbl>
    <w:p w14:paraId="41977D41" w14:textId="77777777" w:rsidR="008D3E4B" w:rsidRDefault="008D3E4B" w:rsidP="00261ED1">
      <w:pPr>
        <w:rPr>
          <w:b/>
          <w:sz w:val="28"/>
          <w:szCs w:val="28"/>
        </w:rPr>
      </w:pPr>
    </w:p>
    <w:p w14:paraId="6BAD10EF" w14:textId="77777777" w:rsidR="003B71B7" w:rsidRDefault="003B71B7" w:rsidP="00261ED1">
      <w:pPr>
        <w:rPr>
          <w:b/>
          <w:sz w:val="28"/>
          <w:szCs w:val="28"/>
        </w:rPr>
      </w:pPr>
      <w:r>
        <w:rPr>
          <w:b/>
          <w:sz w:val="28"/>
          <w:szCs w:val="28"/>
        </w:rPr>
        <w:t>Introduction</w:t>
      </w:r>
      <w:r w:rsidR="000B69D7">
        <w:rPr>
          <w:b/>
          <w:sz w:val="28"/>
          <w:szCs w:val="28"/>
        </w:rPr>
        <w:t xml:space="preserve"> and site map</w:t>
      </w:r>
      <w:r w:rsidR="001C6616">
        <w:rPr>
          <w:b/>
          <w:sz w:val="28"/>
          <w:szCs w:val="28"/>
        </w:rPr>
        <w:t>(s)</w:t>
      </w:r>
      <w:r w:rsidR="000B69D7">
        <w:rPr>
          <w:b/>
          <w:sz w:val="28"/>
          <w:szCs w:val="28"/>
        </w:rPr>
        <w:t xml:space="preserve"> (OS 1:25,000)</w:t>
      </w:r>
    </w:p>
    <w:p w14:paraId="696F975C" w14:textId="6B77C7B8" w:rsidR="004C4763" w:rsidRDefault="00C8096F" w:rsidP="00B03C55">
      <w:r w:rsidRPr="00C8096F">
        <w:t>West</w:t>
      </w:r>
      <w:r>
        <w:t xml:space="preserve"> Allen from source to Wellhope burn is an uplands catchment with a history of mining activity</w:t>
      </w:r>
      <w:r w:rsidR="00B03C55">
        <w:t xml:space="preserve"> and flows for 9km before meeting t</w:t>
      </w:r>
      <w:r w:rsidR="00F95308">
        <w:t>he Well</w:t>
      </w:r>
      <w:r w:rsidR="00B03C55">
        <w:t>hope burn which brings further potential mining inputs</w:t>
      </w:r>
      <w:r w:rsidR="00DE7601">
        <w:t xml:space="preserve"> although concentrations are lower than the West Allen</w:t>
      </w:r>
      <w:r w:rsidR="00B03C55">
        <w:t>. The WFD compliance point for the catchment</w:t>
      </w:r>
      <w:r w:rsidR="00F95308">
        <w:t xml:space="preserve"> is upstream of Well</w:t>
      </w:r>
      <w:r w:rsidR="00167431">
        <w:t>hope burn</w:t>
      </w:r>
      <w:r w:rsidR="00E7684A">
        <w:t>, known as ‘West Allen u/s Mohope burn’</w:t>
      </w:r>
      <w:r w:rsidR="00DA4B0E">
        <w:t xml:space="preserve"> and is sampled for WFD classification but was not incorporated into this characterisation.</w:t>
      </w:r>
    </w:p>
    <w:p w14:paraId="790E8C0B" w14:textId="77777777" w:rsidR="00DA4B0E" w:rsidRDefault="00DA4B0E" w:rsidP="00B03C55"/>
    <w:p w14:paraId="3E1F8A37" w14:textId="2360D4B4" w:rsidR="00DA4B0E" w:rsidRDefault="00DA4B0E" w:rsidP="00DA4B0E">
      <w:pPr>
        <w:rPr>
          <w:szCs w:val="22"/>
        </w:rPr>
      </w:pPr>
      <w:r w:rsidRPr="00DA4B0E">
        <w:rPr>
          <w:szCs w:val="22"/>
        </w:rPr>
        <w:t xml:space="preserve">The </w:t>
      </w:r>
      <w:r w:rsidR="00E7684A">
        <w:rPr>
          <w:szCs w:val="22"/>
        </w:rPr>
        <w:t>decision was taken not to</w:t>
      </w:r>
      <w:r w:rsidR="00990481">
        <w:rPr>
          <w:szCs w:val="22"/>
        </w:rPr>
        <w:t xml:space="preserve"> use</w:t>
      </w:r>
      <w:r w:rsidR="00E7684A">
        <w:rPr>
          <w:szCs w:val="22"/>
        </w:rPr>
        <w:t xml:space="preserve"> ‘West Allen u/s Mohope burn’ </w:t>
      </w:r>
      <w:r w:rsidRPr="00DA4B0E">
        <w:rPr>
          <w:szCs w:val="22"/>
        </w:rPr>
        <w:t xml:space="preserve">(shown in the </w:t>
      </w:r>
      <w:r w:rsidR="00990481">
        <w:rPr>
          <w:szCs w:val="22"/>
        </w:rPr>
        <w:t>figure 4</w:t>
      </w:r>
      <w:r w:rsidRPr="00DA4B0E">
        <w:rPr>
          <w:szCs w:val="22"/>
        </w:rPr>
        <w:t xml:space="preserve"> </w:t>
      </w:r>
      <w:r>
        <w:rPr>
          <w:szCs w:val="22"/>
        </w:rPr>
        <w:t>below</w:t>
      </w:r>
      <w:r w:rsidR="00E7684A">
        <w:rPr>
          <w:szCs w:val="22"/>
        </w:rPr>
        <w:t xml:space="preserve"> as waterbody compliance point</w:t>
      </w:r>
      <w:r w:rsidRPr="00DA4B0E">
        <w:rPr>
          <w:szCs w:val="22"/>
        </w:rPr>
        <w:t>) because of time constraints and the necessity to gather a full round of samples in one day.</w:t>
      </w:r>
      <w:r>
        <w:rPr>
          <w:szCs w:val="22"/>
        </w:rPr>
        <w:t xml:space="preserve">  </w:t>
      </w:r>
      <w:r w:rsidRPr="00DA4B0E">
        <w:rPr>
          <w:szCs w:val="22"/>
        </w:rPr>
        <w:t>The compliance point used in the study is Hindley Wrae ford which is the compliance point for the d/s water body as shown in the map below. At this point it is expected to see a greater degree of improvement following any treatment interventions.</w:t>
      </w:r>
      <w:r w:rsidR="003B22AA">
        <w:rPr>
          <w:szCs w:val="22"/>
        </w:rPr>
        <w:t xml:space="preserve"> The maps below show the catchment location in the North East Area </w:t>
      </w:r>
      <w:r w:rsidR="00E7684A">
        <w:rPr>
          <w:szCs w:val="22"/>
        </w:rPr>
        <w:t xml:space="preserve">setting </w:t>
      </w:r>
      <w:r w:rsidR="003B22AA">
        <w:rPr>
          <w:szCs w:val="22"/>
        </w:rPr>
        <w:t>and within the South Tyne.</w:t>
      </w:r>
      <w:r w:rsidR="00E7684A">
        <w:rPr>
          <w:szCs w:val="22"/>
        </w:rPr>
        <w:t xml:space="preserve"> Red lines indicate waterbody boundaries and pink spots show sample points locations</w:t>
      </w:r>
    </w:p>
    <w:p w14:paraId="5B064283" w14:textId="77777777" w:rsidR="003B22AA" w:rsidRDefault="003B22AA" w:rsidP="00DA4B0E">
      <w:pPr>
        <w:rPr>
          <w:szCs w:val="22"/>
        </w:rPr>
      </w:pPr>
    </w:p>
    <w:p w14:paraId="1069716E" w14:textId="77777777" w:rsidR="00A85B72" w:rsidRDefault="003B22AA" w:rsidP="00A85B72">
      <w:pPr>
        <w:keepNext/>
      </w:pPr>
      <w:r>
        <w:rPr>
          <w:noProof/>
          <w:szCs w:val="22"/>
        </w:rPr>
        <w:lastRenderedPageBreak/>
        <w:drawing>
          <wp:inline distT="0" distB="0" distL="0" distR="0" wp14:anchorId="6F9CD36F" wp14:editId="7D8EEC32">
            <wp:extent cx="4634865" cy="4379784"/>
            <wp:effectExtent l="0" t="0" r="0" b="0"/>
            <wp:docPr id="15" name="Picture 14" descr="Overview map - Tyne Catch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verview map - Tyne Catchment.jpg"/>
                    <pic:cNvPicPr/>
                  </pic:nvPicPr>
                  <pic:blipFill>
                    <a:blip r:embed="rId15" cstate="print"/>
                    <a:stretch>
                      <a:fillRect/>
                    </a:stretch>
                  </pic:blipFill>
                  <pic:spPr>
                    <a:xfrm>
                      <a:off x="0" y="0"/>
                      <a:ext cx="4650147" cy="4394225"/>
                    </a:xfrm>
                    <a:prstGeom prst="rect">
                      <a:avLst/>
                    </a:prstGeom>
                  </pic:spPr>
                </pic:pic>
              </a:graphicData>
            </a:graphic>
          </wp:inline>
        </w:drawing>
      </w:r>
    </w:p>
    <w:p w14:paraId="1A326FF6" w14:textId="227321D5" w:rsidR="003B22AA" w:rsidRPr="00DA4B0E" w:rsidRDefault="00A85B72" w:rsidP="00A85B72">
      <w:pPr>
        <w:pStyle w:val="Caption"/>
        <w:rPr>
          <w:szCs w:val="22"/>
        </w:rPr>
      </w:pPr>
      <w:r>
        <w:t xml:space="preserve">Figure </w:t>
      </w:r>
      <w:r w:rsidR="00E616B5">
        <w:fldChar w:fldCharType="begin"/>
      </w:r>
      <w:r w:rsidR="00E616B5">
        <w:instrText xml:space="preserve"> SEQ Figure \* ARABIC </w:instrText>
      </w:r>
      <w:r w:rsidR="00E616B5">
        <w:fldChar w:fldCharType="separate"/>
      </w:r>
      <w:r w:rsidR="00B87AA0">
        <w:rPr>
          <w:noProof/>
        </w:rPr>
        <w:t>1</w:t>
      </w:r>
      <w:r w:rsidR="00E616B5">
        <w:rPr>
          <w:noProof/>
        </w:rPr>
        <w:fldChar w:fldCharType="end"/>
      </w:r>
      <w:r>
        <w:t xml:space="preserve"> - Overview of the North East river system</w:t>
      </w:r>
    </w:p>
    <w:p w14:paraId="1BFDF813" w14:textId="77777777" w:rsidR="004C4763" w:rsidRDefault="004C4763" w:rsidP="00680BF4"/>
    <w:p w14:paraId="69179D46" w14:textId="77777777" w:rsidR="00A85B72" w:rsidRDefault="003B22AA" w:rsidP="00A85B72">
      <w:pPr>
        <w:keepNext/>
      </w:pPr>
      <w:r>
        <w:rPr>
          <w:noProof/>
        </w:rPr>
        <w:drawing>
          <wp:inline distT="0" distB="0" distL="0" distR="0" wp14:anchorId="3135B93D" wp14:editId="6542C4B8">
            <wp:extent cx="4635187" cy="4380089"/>
            <wp:effectExtent l="0" t="0" r="0" b="0"/>
            <wp:docPr id="16" name="Picture 15" descr="South Tyne over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 Tyne overview.jpg"/>
                    <pic:cNvPicPr/>
                  </pic:nvPicPr>
                  <pic:blipFill>
                    <a:blip r:embed="rId16" cstate="print"/>
                    <a:stretch>
                      <a:fillRect/>
                    </a:stretch>
                  </pic:blipFill>
                  <pic:spPr>
                    <a:xfrm>
                      <a:off x="0" y="0"/>
                      <a:ext cx="4649531" cy="4393644"/>
                    </a:xfrm>
                    <a:prstGeom prst="rect">
                      <a:avLst/>
                    </a:prstGeom>
                  </pic:spPr>
                </pic:pic>
              </a:graphicData>
            </a:graphic>
          </wp:inline>
        </w:drawing>
      </w:r>
    </w:p>
    <w:p w14:paraId="7922C438" w14:textId="5AAC31B4" w:rsidR="003B22AA" w:rsidRDefault="00A85B72" w:rsidP="00A85B72">
      <w:pPr>
        <w:pStyle w:val="Caption"/>
      </w:pPr>
      <w:r>
        <w:t xml:space="preserve">Figure </w:t>
      </w:r>
      <w:r w:rsidR="00E616B5">
        <w:fldChar w:fldCharType="begin"/>
      </w:r>
      <w:r w:rsidR="00E616B5">
        <w:instrText xml:space="preserve"> SEQ Figure \* ARABIC </w:instrText>
      </w:r>
      <w:r w:rsidR="00E616B5">
        <w:fldChar w:fldCharType="separate"/>
      </w:r>
      <w:r w:rsidR="00B87AA0">
        <w:rPr>
          <w:noProof/>
        </w:rPr>
        <w:t>2</w:t>
      </w:r>
      <w:r w:rsidR="00E616B5">
        <w:rPr>
          <w:noProof/>
        </w:rPr>
        <w:fldChar w:fldCharType="end"/>
      </w:r>
      <w:r>
        <w:t xml:space="preserve"> - Overview of catchments on the South Tyne river system</w:t>
      </w:r>
    </w:p>
    <w:p w14:paraId="45CE97F2" w14:textId="77777777" w:rsidR="003B22AA" w:rsidRDefault="003B22AA" w:rsidP="00680BF4"/>
    <w:p w14:paraId="21A805A5" w14:textId="72BFA3C7" w:rsidR="00C8096F" w:rsidRDefault="00C8096F" w:rsidP="00680BF4">
      <w:r>
        <w:t xml:space="preserve">This study aims to characterise the catchment, identifying the sources of pollution </w:t>
      </w:r>
      <w:r w:rsidR="00695ACE">
        <w:t>as well</w:t>
      </w:r>
      <w:r>
        <w:t xml:space="preserve"> as </w:t>
      </w:r>
      <w:r w:rsidR="00CD5551">
        <w:t>quantifying the</w:t>
      </w:r>
      <w:r>
        <w:t xml:space="preserve"> impact</w:t>
      </w:r>
      <w:r w:rsidR="00CD5551">
        <w:t xml:space="preserve"> of some of these sources on the </w:t>
      </w:r>
      <w:r w:rsidR="008B13C4">
        <w:t>waterbody and identify the most polluting sources.</w:t>
      </w:r>
    </w:p>
    <w:p w14:paraId="45ED3F8B" w14:textId="77777777" w:rsidR="008B13C4" w:rsidRDefault="008B13C4" w:rsidP="00680BF4"/>
    <w:p w14:paraId="39AB7E9B" w14:textId="77777777" w:rsidR="008B13C4" w:rsidRDefault="008B13C4" w:rsidP="00680BF4">
      <w:r>
        <w:t>Below are a series of maps showing the sample points used for the study, the pink coloration shows spoil heaps</w:t>
      </w:r>
      <w:r w:rsidR="00B03C55">
        <w:t xml:space="preserve"> and the dark red dots are the locations of sites that have been identified under the Mining Waste Directive as causing water pollution. </w:t>
      </w:r>
    </w:p>
    <w:p w14:paraId="298D54AA" w14:textId="77777777" w:rsidR="008B13C4" w:rsidRDefault="008B13C4" w:rsidP="00680BF4"/>
    <w:p w14:paraId="2DF5CB4F" w14:textId="77777777" w:rsidR="00833E37" w:rsidRDefault="00833E37" w:rsidP="00680BF4"/>
    <w:p w14:paraId="49856F77" w14:textId="77777777" w:rsidR="00025D05" w:rsidRDefault="00025D05" w:rsidP="00680BF4"/>
    <w:p w14:paraId="1F11F2F0" w14:textId="77777777" w:rsidR="00025D05" w:rsidRDefault="00C65F2C" w:rsidP="00B52598">
      <w:pPr>
        <w:jc w:val="center"/>
      </w:pPr>
      <w:r w:rsidRPr="00C65F2C">
        <w:rPr>
          <w:noProof/>
        </w:rPr>
        <w:drawing>
          <wp:inline distT="0" distB="0" distL="0" distR="0" wp14:anchorId="067EFB56" wp14:editId="507CBD53">
            <wp:extent cx="4538766" cy="1973379"/>
            <wp:effectExtent l="19050" t="19050" r="14184" b="26871"/>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4545272" cy="1976208"/>
                    </a:xfrm>
                    <a:prstGeom prst="rect">
                      <a:avLst/>
                    </a:prstGeom>
                    <a:noFill/>
                    <a:ln w="9525">
                      <a:solidFill>
                        <a:schemeClr val="accent1"/>
                      </a:solidFill>
                      <a:miter lim="800000"/>
                      <a:headEnd/>
                      <a:tailEnd/>
                    </a:ln>
                  </pic:spPr>
                </pic:pic>
              </a:graphicData>
            </a:graphic>
          </wp:inline>
        </w:drawing>
      </w:r>
    </w:p>
    <w:p w14:paraId="0EA19857" w14:textId="77777777" w:rsidR="008E727D" w:rsidRDefault="008E727D" w:rsidP="00680BF4"/>
    <w:p w14:paraId="685DE917" w14:textId="77777777" w:rsidR="00B52598" w:rsidRDefault="008E727D" w:rsidP="00261ED1">
      <w:r>
        <w:t>Monitoring points</w:t>
      </w:r>
    </w:p>
    <w:p w14:paraId="6A627669" w14:textId="77777777" w:rsidR="00A85B72" w:rsidRDefault="00702D2D" w:rsidP="00A85B72">
      <w:pPr>
        <w:keepNext/>
      </w:pPr>
      <w:r>
        <w:rPr>
          <w:noProof/>
        </w:rPr>
        <w:drawing>
          <wp:inline distT="0" distB="0" distL="0" distR="0" wp14:anchorId="5C780400" wp14:editId="033E4E98">
            <wp:extent cx="5159341" cy="4303027"/>
            <wp:effectExtent l="19050" t="0" r="3209" b="0"/>
            <wp:docPr id="2" name="Picture 2" descr="G:\FP_EM_GWCL\Environment Management\Monitoring\Water\Groundwater\Minewaters\2METAL MINES\3North\3 West Allen\1 Barney Craig\West Alle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P_EM_GWCL\Environment Management\Monitoring\Water\Groundwater\Minewaters\2METAL MINES\3North\3 West Allen\1 Barney Craig\West Allen map.jpg"/>
                    <pic:cNvPicPr>
                      <a:picLocks noChangeAspect="1" noChangeArrowheads="1"/>
                    </pic:cNvPicPr>
                  </pic:nvPicPr>
                  <pic:blipFill>
                    <a:blip r:embed="rId18" cstate="print"/>
                    <a:srcRect/>
                    <a:stretch>
                      <a:fillRect/>
                    </a:stretch>
                  </pic:blipFill>
                  <pic:spPr bwMode="auto">
                    <a:xfrm>
                      <a:off x="0" y="0"/>
                      <a:ext cx="5162336" cy="4305525"/>
                    </a:xfrm>
                    <a:prstGeom prst="rect">
                      <a:avLst/>
                    </a:prstGeom>
                    <a:noFill/>
                    <a:ln w="9525">
                      <a:noFill/>
                      <a:miter lim="800000"/>
                      <a:headEnd/>
                      <a:tailEnd/>
                    </a:ln>
                  </pic:spPr>
                </pic:pic>
              </a:graphicData>
            </a:graphic>
          </wp:inline>
        </w:drawing>
      </w:r>
    </w:p>
    <w:p w14:paraId="75C40CFD" w14:textId="7BB98B90" w:rsidR="00B52598" w:rsidRDefault="00A85B72" w:rsidP="00A85B72">
      <w:pPr>
        <w:pStyle w:val="Caption"/>
        <w:rPr>
          <w:b w:val="0"/>
          <w:sz w:val="28"/>
          <w:szCs w:val="28"/>
        </w:rPr>
      </w:pPr>
      <w:r>
        <w:t xml:space="preserve">Figure </w:t>
      </w:r>
      <w:r w:rsidR="00E616B5">
        <w:fldChar w:fldCharType="begin"/>
      </w:r>
      <w:r w:rsidR="00E616B5">
        <w:instrText xml:space="preserve"> SEQ Figure \* ARABIC </w:instrText>
      </w:r>
      <w:r w:rsidR="00E616B5">
        <w:fldChar w:fldCharType="separate"/>
      </w:r>
      <w:r w:rsidR="00B87AA0">
        <w:rPr>
          <w:noProof/>
        </w:rPr>
        <w:t>3</w:t>
      </w:r>
      <w:r w:rsidR="00E616B5">
        <w:rPr>
          <w:noProof/>
        </w:rPr>
        <w:fldChar w:fldCharType="end"/>
      </w:r>
      <w:r>
        <w:t xml:space="preserve"> - Sample points in the upper catchment</w:t>
      </w:r>
    </w:p>
    <w:p w14:paraId="7D334CDA" w14:textId="77777777" w:rsidR="00B52598" w:rsidRDefault="00B52598" w:rsidP="00261ED1">
      <w:pPr>
        <w:rPr>
          <w:b/>
          <w:sz w:val="28"/>
          <w:szCs w:val="28"/>
        </w:rPr>
      </w:pPr>
    </w:p>
    <w:p w14:paraId="56F46BE0" w14:textId="77777777" w:rsidR="00A85B72" w:rsidRDefault="008E727D" w:rsidP="00A85B72">
      <w:pPr>
        <w:keepNext/>
      </w:pPr>
      <w:r>
        <w:rPr>
          <w:b/>
          <w:noProof/>
          <w:sz w:val="28"/>
          <w:szCs w:val="28"/>
        </w:rPr>
        <w:lastRenderedPageBreak/>
        <w:drawing>
          <wp:inline distT="0" distB="0" distL="0" distR="0" wp14:anchorId="0859C17D" wp14:editId="76608897">
            <wp:extent cx="5130265" cy="4278777"/>
            <wp:effectExtent l="19050" t="19050" r="13235" b="26523"/>
            <wp:docPr id="3" name="Picture 3" descr="G:\FP_EM_GWCL\Environment Management\Monitoring\Water\Groundwater\Minewaters\2METAL MINES\3North\3 West Allen\1 Barney Craig\West Allen ma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P_EM_GWCL\Environment Management\Monitoring\Water\Groundwater\Minewaters\2METAL MINES\3North\3 West Allen\1 Barney Craig\West Allen map 2.jpg"/>
                    <pic:cNvPicPr>
                      <a:picLocks noChangeAspect="1" noChangeArrowheads="1"/>
                    </pic:cNvPicPr>
                  </pic:nvPicPr>
                  <pic:blipFill>
                    <a:blip r:embed="rId19" cstate="print"/>
                    <a:srcRect/>
                    <a:stretch>
                      <a:fillRect/>
                    </a:stretch>
                  </pic:blipFill>
                  <pic:spPr bwMode="auto">
                    <a:xfrm>
                      <a:off x="0" y="0"/>
                      <a:ext cx="5133244" cy="4281262"/>
                    </a:xfrm>
                    <a:prstGeom prst="rect">
                      <a:avLst/>
                    </a:prstGeom>
                    <a:noFill/>
                    <a:ln w="9525">
                      <a:solidFill>
                        <a:schemeClr val="tx1"/>
                      </a:solidFill>
                      <a:miter lim="800000"/>
                      <a:headEnd/>
                      <a:tailEnd/>
                    </a:ln>
                  </pic:spPr>
                </pic:pic>
              </a:graphicData>
            </a:graphic>
          </wp:inline>
        </w:drawing>
      </w:r>
    </w:p>
    <w:p w14:paraId="34184CA5" w14:textId="51E288A7" w:rsidR="008E727D" w:rsidRDefault="00A85B72" w:rsidP="00A85B72">
      <w:pPr>
        <w:pStyle w:val="Caption"/>
        <w:rPr>
          <w:b w:val="0"/>
          <w:sz w:val="28"/>
          <w:szCs w:val="28"/>
        </w:rPr>
      </w:pPr>
      <w:r>
        <w:t xml:space="preserve">Figure </w:t>
      </w:r>
      <w:r w:rsidR="00E616B5">
        <w:fldChar w:fldCharType="begin"/>
      </w:r>
      <w:r w:rsidR="00E616B5">
        <w:instrText xml:space="preserve"> SEQ Figure \* ARABIC </w:instrText>
      </w:r>
      <w:r w:rsidR="00E616B5">
        <w:fldChar w:fldCharType="separate"/>
      </w:r>
      <w:r w:rsidR="00B87AA0">
        <w:rPr>
          <w:noProof/>
        </w:rPr>
        <w:t>4</w:t>
      </w:r>
      <w:r w:rsidR="00E616B5">
        <w:rPr>
          <w:noProof/>
        </w:rPr>
        <w:fldChar w:fldCharType="end"/>
      </w:r>
      <w:r>
        <w:t>- Sample point in relation to the waterbody compliance point</w:t>
      </w:r>
    </w:p>
    <w:p w14:paraId="23411CC0" w14:textId="77777777" w:rsidR="00C65F2C" w:rsidRDefault="00C65F2C" w:rsidP="00261ED1">
      <w:pPr>
        <w:rPr>
          <w:b/>
          <w:sz w:val="28"/>
          <w:szCs w:val="28"/>
        </w:rPr>
      </w:pPr>
    </w:p>
    <w:p w14:paraId="13F8BE2E" w14:textId="77777777" w:rsidR="008E727D" w:rsidRDefault="008E727D" w:rsidP="00261ED1">
      <w:pPr>
        <w:rPr>
          <w:b/>
          <w:sz w:val="28"/>
          <w:szCs w:val="28"/>
        </w:rPr>
      </w:pPr>
    </w:p>
    <w:p w14:paraId="5B28DB16" w14:textId="77777777" w:rsidR="00A85B72" w:rsidRDefault="008E727D" w:rsidP="00A85B72">
      <w:pPr>
        <w:keepNext/>
      </w:pPr>
      <w:r>
        <w:rPr>
          <w:b/>
          <w:noProof/>
          <w:sz w:val="28"/>
          <w:szCs w:val="28"/>
        </w:rPr>
        <w:drawing>
          <wp:inline distT="0" distB="0" distL="0" distR="0" wp14:anchorId="7064F1D1" wp14:editId="65F0DD96">
            <wp:extent cx="4967112" cy="4142702"/>
            <wp:effectExtent l="0" t="0" r="0" b="0"/>
            <wp:docPr id="4" name="Picture 4" descr="G:\FP_EM_GWCL\Environment Management\Monitoring\Water\Groundwater\Minewaters\2METAL MINES\3North\3 West Allen\1 Barney Craig\West Allen comliance 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P_EM_GWCL\Environment Management\Monitoring\Water\Groundwater\Minewaters\2METAL MINES\3North\3 West Allen\1 Barney Craig\West Allen comliance point.jpg"/>
                    <pic:cNvPicPr>
                      <a:picLocks noChangeAspect="1" noChangeArrowheads="1"/>
                    </pic:cNvPicPr>
                  </pic:nvPicPr>
                  <pic:blipFill>
                    <a:blip r:embed="rId20" cstate="print"/>
                    <a:srcRect/>
                    <a:stretch>
                      <a:fillRect/>
                    </a:stretch>
                  </pic:blipFill>
                  <pic:spPr bwMode="auto">
                    <a:xfrm>
                      <a:off x="0" y="0"/>
                      <a:ext cx="4977385" cy="4151270"/>
                    </a:xfrm>
                    <a:prstGeom prst="rect">
                      <a:avLst/>
                    </a:prstGeom>
                    <a:noFill/>
                    <a:ln w="9525">
                      <a:noFill/>
                      <a:miter lim="800000"/>
                      <a:headEnd/>
                      <a:tailEnd/>
                    </a:ln>
                  </pic:spPr>
                </pic:pic>
              </a:graphicData>
            </a:graphic>
          </wp:inline>
        </w:drawing>
      </w:r>
    </w:p>
    <w:p w14:paraId="48A4A8AD" w14:textId="333FE291" w:rsidR="008E727D" w:rsidRDefault="00A85B72" w:rsidP="00A85B72">
      <w:pPr>
        <w:pStyle w:val="Caption"/>
        <w:rPr>
          <w:b w:val="0"/>
          <w:sz w:val="28"/>
          <w:szCs w:val="28"/>
        </w:rPr>
      </w:pPr>
      <w:r>
        <w:t xml:space="preserve">Figure </w:t>
      </w:r>
      <w:r w:rsidR="00E616B5">
        <w:fldChar w:fldCharType="begin"/>
      </w:r>
      <w:r w:rsidR="00E616B5">
        <w:instrText xml:space="preserve"> SEQ Figure \* ARABIC </w:instrText>
      </w:r>
      <w:r w:rsidR="00E616B5">
        <w:fldChar w:fldCharType="separate"/>
      </w:r>
      <w:r w:rsidR="00B87AA0">
        <w:rPr>
          <w:noProof/>
        </w:rPr>
        <w:t>5</w:t>
      </w:r>
      <w:r w:rsidR="00E616B5">
        <w:rPr>
          <w:noProof/>
        </w:rPr>
        <w:fldChar w:fldCharType="end"/>
      </w:r>
      <w:r>
        <w:t xml:space="preserve"> - Sample point used as the </w:t>
      </w:r>
      <w:r w:rsidR="00695ACE">
        <w:t>compliance</w:t>
      </w:r>
      <w:r>
        <w:t xml:space="preserve"> point for this study</w:t>
      </w:r>
    </w:p>
    <w:p w14:paraId="6FE7D700" w14:textId="77777777" w:rsidR="003B71B7" w:rsidRDefault="003B71B7" w:rsidP="00261ED1">
      <w:pPr>
        <w:rPr>
          <w:b/>
          <w:sz w:val="28"/>
          <w:szCs w:val="28"/>
        </w:rPr>
      </w:pPr>
    </w:p>
    <w:p w14:paraId="2C301941" w14:textId="77777777" w:rsidR="003B71B7" w:rsidRDefault="003B71B7" w:rsidP="00261ED1">
      <w:pPr>
        <w:rPr>
          <w:b/>
          <w:sz w:val="28"/>
          <w:szCs w:val="28"/>
        </w:rPr>
      </w:pPr>
      <w:r>
        <w:rPr>
          <w:b/>
          <w:sz w:val="28"/>
          <w:szCs w:val="28"/>
        </w:rPr>
        <w:t>Review of historical data and information</w:t>
      </w:r>
    </w:p>
    <w:p w14:paraId="4C45AF00" w14:textId="01AD40AE" w:rsidR="00B03C55" w:rsidRDefault="00B03C55" w:rsidP="00B03C55">
      <w:r>
        <w:t>There are 3 mines in this catchment, Barney Crag, Scraithhole and Coal cleugh, all of which have associated spoil and dressing floors. Barney Crag mine was opened in around 1760 and was mined through to the 19</w:t>
      </w:r>
      <w:r w:rsidRPr="004C4763">
        <w:rPr>
          <w:vertAlign w:val="superscript"/>
        </w:rPr>
        <w:t>th</w:t>
      </w:r>
      <w:r>
        <w:t xml:space="preserve"> Century for Lead and Zinc. Scraithole </w:t>
      </w:r>
      <w:r w:rsidR="00695ACE">
        <w:t>mine worked</w:t>
      </w:r>
      <w:r>
        <w:t xml:space="preserve"> the veins on the western side of the valley from around 1820 and has operated sporadically until 1981 when it was finally worked for Zinc and Witherite.  Associated with these two mines are various ages of dressing and processing floors in differing states of repair most notably the wall which retains these features is slowly collapsing as heavy floods wash par</w:t>
      </w:r>
      <w:r w:rsidR="00E7684A">
        <w:t>t</w:t>
      </w:r>
      <w:r>
        <w:t>s of it away. This retaining wall also provides one side of a tailings facility which has been filled to well above the level of the wall.</w:t>
      </w:r>
    </w:p>
    <w:p w14:paraId="28576B6B" w14:textId="77777777" w:rsidR="00B03C55" w:rsidRDefault="00B03C55" w:rsidP="00B03C55"/>
    <w:p w14:paraId="3CC0A83C" w14:textId="1DF911CB" w:rsidR="00B03C55" w:rsidRDefault="00B03C55" w:rsidP="00B03C55">
      <w:r>
        <w:t>Coal cleugh mine was operated from early 16</w:t>
      </w:r>
      <w:r w:rsidRPr="00AC2120">
        <w:rPr>
          <w:vertAlign w:val="superscript"/>
        </w:rPr>
        <w:t>th</w:t>
      </w:r>
      <w:r>
        <w:t xml:space="preserve"> Century until around 1830 as a lead mine and has since been worked for Zinc and Fluorspar. There are associated spoil heaps and dressing floors located at Coal cleugh </w:t>
      </w:r>
      <w:r w:rsidR="00695ACE">
        <w:t>as well</w:t>
      </w:r>
      <w:r>
        <w:t xml:space="preserve"> and workings at the head of Alston Cleugh are littered with spoil heaps and shafts from mining efforts through the years.</w:t>
      </w:r>
    </w:p>
    <w:p w14:paraId="4602E0C3" w14:textId="77777777" w:rsidR="003B71B7" w:rsidRDefault="003B71B7" w:rsidP="00261ED1">
      <w:pPr>
        <w:rPr>
          <w:b/>
          <w:sz w:val="28"/>
          <w:szCs w:val="28"/>
        </w:rPr>
      </w:pPr>
    </w:p>
    <w:p w14:paraId="77755FF2" w14:textId="77777777" w:rsidR="003B71B7" w:rsidRDefault="003B71B7" w:rsidP="00261ED1">
      <w:pPr>
        <w:rPr>
          <w:b/>
          <w:sz w:val="28"/>
          <w:szCs w:val="28"/>
        </w:rPr>
      </w:pPr>
      <w:r>
        <w:rPr>
          <w:b/>
          <w:sz w:val="28"/>
          <w:szCs w:val="28"/>
        </w:rPr>
        <w:t>Geological setting</w:t>
      </w:r>
      <w:r w:rsidR="000B69D7">
        <w:rPr>
          <w:b/>
          <w:sz w:val="28"/>
          <w:szCs w:val="28"/>
        </w:rPr>
        <w:t xml:space="preserve"> and map</w:t>
      </w:r>
    </w:p>
    <w:p w14:paraId="6CEEAF36" w14:textId="7B6C01BE" w:rsidR="00833E37" w:rsidRDefault="00833E37" w:rsidP="00647CEF">
      <w:r>
        <w:t>Much of the valley floor of the West Allen</w:t>
      </w:r>
      <w:r w:rsidR="00F95308">
        <w:t xml:space="preserve"> from source to Wellhope burn</w:t>
      </w:r>
      <w:r>
        <w:t xml:space="preserve">, including the West Allen </w:t>
      </w:r>
      <w:r w:rsidR="00695ACE">
        <w:t>River</w:t>
      </w:r>
      <w:r>
        <w:t>, is underlain by a limestone geology whereas the upper catchment and area higher on the valley sides are more formed on mudstone with some bands of sandstone such as the firestone sill.</w:t>
      </w:r>
    </w:p>
    <w:p w14:paraId="1BC4A4D4" w14:textId="77777777" w:rsidR="00833E37" w:rsidRDefault="00833E37" w:rsidP="00647CEF"/>
    <w:p w14:paraId="61F41661" w14:textId="6E14B64D" w:rsidR="00F95308" w:rsidRDefault="00647CEF" w:rsidP="00647CEF">
      <w:r>
        <w:t>Th</w:t>
      </w:r>
      <w:r w:rsidR="00F95308">
        <w:t>e West Allen forms part of the Alston mining block which</w:t>
      </w:r>
      <w:r>
        <w:t xml:space="preserve"> consists of a dome of ‘Weardale’ Granite overlain with thick limestone capped with sedimentary sandstones and mudstones. The limestone has fractured in multiple directions allowing hot mineral rich water to flow and leave ore deposits in many veins as it cooled. The ore body has a number of zones radiating out from the central source of mineralisation with zinc and lead more prominent towar</w:t>
      </w:r>
      <w:r w:rsidR="00833007">
        <w:t>ds the centre and Barium and Fl</w:t>
      </w:r>
      <w:r>
        <w:t>u</w:t>
      </w:r>
      <w:r w:rsidR="00833007">
        <w:t>o</w:t>
      </w:r>
      <w:r>
        <w:t xml:space="preserve">rite further out.  The limestone geology buffers acid produced when sulphide minerals oxidise, resulting in the </w:t>
      </w:r>
      <w:r w:rsidR="00695ACE">
        <w:t>mine waters</w:t>
      </w:r>
      <w:r>
        <w:t xml:space="preserve"> discharging being close to neutral </w:t>
      </w:r>
      <w:r w:rsidR="00695ACE">
        <w:t>ph.</w:t>
      </w:r>
      <w:r>
        <w:t xml:space="preserve"> </w:t>
      </w:r>
    </w:p>
    <w:p w14:paraId="6C0B7E5F" w14:textId="77777777" w:rsidR="00F95308" w:rsidRDefault="00F95308" w:rsidP="00647CEF">
      <w:r>
        <w:t>The maps below show the geology of the catchment and the downstream catchment “West Allen from Wellhope burn to Allen”</w:t>
      </w:r>
      <w:r w:rsidR="00625393">
        <w:t xml:space="preserve">.  The pink dots show the sample points used in this characterisation and generally the blues represent limestone formations, and the orange and yellow coloration represents formations that are dominated by sand or mudstone. </w:t>
      </w:r>
    </w:p>
    <w:p w14:paraId="0FFBFB60" w14:textId="77777777" w:rsidR="00C70ECF" w:rsidRDefault="00C70ECF" w:rsidP="00647CEF"/>
    <w:p w14:paraId="6DC3F169" w14:textId="77777777" w:rsidR="00A85B72" w:rsidRDefault="00C70ECF" w:rsidP="00A85B72">
      <w:pPr>
        <w:keepNext/>
      </w:pPr>
      <w:r>
        <w:rPr>
          <w:noProof/>
        </w:rPr>
        <w:drawing>
          <wp:inline distT="0" distB="0" distL="0" distR="0" wp14:anchorId="22FE814E" wp14:editId="18B35A24">
            <wp:extent cx="4572200" cy="3813335"/>
            <wp:effectExtent l="19050" t="0" r="0" b="0"/>
            <wp:docPr id="12" name="Picture 5" descr="G:\FP_EM_GWCL\Environment Management\Monitoring\Water\Groundwater\Minewaters\2METAL MINES\3North\3 West Allen\1 Barney Craig\West Allen Ge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P_EM_GWCL\Environment Management\Monitoring\Water\Groundwater\Minewaters\2METAL MINES\3North\3 West Allen\1 Barney Craig\West Allen Geology.jpg"/>
                    <pic:cNvPicPr>
                      <a:picLocks noChangeAspect="1" noChangeArrowheads="1"/>
                    </pic:cNvPicPr>
                  </pic:nvPicPr>
                  <pic:blipFill>
                    <a:blip r:embed="rId21" cstate="print"/>
                    <a:srcRect/>
                    <a:stretch>
                      <a:fillRect/>
                    </a:stretch>
                  </pic:blipFill>
                  <pic:spPr bwMode="auto">
                    <a:xfrm>
                      <a:off x="0" y="0"/>
                      <a:ext cx="4574855" cy="3815549"/>
                    </a:xfrm>
                    <a:prstGeom prst="rect">
                      <a:avLst/>
                    </a:prstGeom>
                    <a:noFill/>
                    <a:ln w="9525">
                      <a:noFill/>
                      <a:miter lim="800000"/>
                      <a:headEnd/>
                      <a:tailEnd/>
                    </a:ln>
                  </pic:spPr>
                </pic:pic>
              </a:graphicData>
            </a:graphic>
          </wp:inline>
        </w:drawing>
      </w:r>
    </w:p>
    <w:p w14:paraId="50E744E7" w14:textId="11E126DB" w:rsidR="00C70ECF" w:rsidRDefault="00A85B72" w:rsidP="00A85B72">
      <w:pPr>
        <w:pStyle w:val="Caption"/>
      </w:pPr>
      <w:r>
        <w:t xml:space="preserve">Figure </w:t>
      </w:r>
      <w:r w:rsidR="00E616B5">
        <w:fldChar w:fldCharType="begin"/>
      </w:r>
      <w:r w:rsidR="00E616B5">
        <w:instrText xml:space="preserve"> SEQ Figure \* ARABIC </w:instrText>
      </w:r>
      <w:r w:rsidR="00E616B5">
        <w:fldChar w:fldCharType="separate"/>
      </w:r>
      <w:r w:rsidR="00B87AA0">
        <w:rPr>
          <w:noProof/>
        </w:rPr>
        <w:t>6</w:t>
      </w:r>
      <w:r w:rsidR="00E616B5">
        <w:rPr>
          <w:noProof/>
        </w:rPr>
        <w:fldChar w:fldCharType="end"/>
      </w:r>
      <w:r>
        <w:t xml:space="preserve"> - Geology of the upper catchment</w:t>
      </w:r>
    </w:p>
    <w:p w14:paraId="6030D923" w14:textId="77777777" w:rsidR="00A85B72" w:rsidRDefault="00F95308" w:rsidP="00A85B72">
      <w:pPr>
        <w:keepNext/>
      </w:pPr>
      <w:r>
        <w:rPr>
          <w:noProof/>
        </w:rPr>
        <w:lastRenderedPageBreak/>
        <w:drawing>
          <wp:inline distT="0" distB="0" distL="0" distR="0" wp14:anchorId="3395D186" wp14:editId="3885AA13">
            <wp:extent cx="4809067" cy="4543958"/>
            <wp:effectExtent l="0" t="0" r="0" b="0"/>
            <wp:docPr id="6" name="Picture 5" descr="WA geolog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 geology 2.jpg"/>
                    <pic:cNvPicPr/>
                  </pic:nvPicPr>
                  <pic:blipFill>
                    <a:blip r:embed="rId22" cstate="print"/>
                    <a:stretch>
                      <a:fillRect/>
                    </a:stretch>
                  </pic:blipFill>
                  <pic:spPr>
                    <a:xfrm>
                      <a:off x="0" y="0"/>
                      <a:ext cx="4819039" cy="4553380"/>
                    </a:xfrm>
                    <a:prstGeom prst="rect">
                      <a:avLst/>
                    </a:prstGeom>
                  </pic:spPr>
                </pic:pic>
              </a:graphicData>
            </a:graphic>
          </wp:inline>
        </w:drawing>
      </w:r>
    </w:p>
    <w:p w14:paraId="041CF733" w14:textId="43BCBC10" w:rsidR="00F95308" w:rsidRDefault="00A85B72" w:rsidP="00A85B72">
      <w:pPr>
        <w:pStyle w:val="Caption"/>
      </w:pPr>
      <w:r>
        <w:t xml:space="preserve">Figure </w:t>
      </w:r>
      <w:r w:rsidR="00E616B5">
        <w:fldChar w:fldCharType="begin"/>
      </w:r>
      <w:r w:rsidR="00E616B5">
        <w:instrText xml:space="preserve"> SEQ Figure \* ARABIC </w:instrText>
      </w:r>
      <w:r w:rsidR="00E616B5">
        <w:fldChar w:fldCharType="separate"/>
      </w:r>
      <w:r w:rsidR="00B87AA0">
        <w:rPr>
          <w:noProof/>
        </w:rPr>
        <w:t>7</w:t>
      </w:r>
      <w:r w:rsidR="00E616B5">
        <w:rPr>
          <w:noProof/>
        </w:rPr>
        <w:fldChar w:fldCharType="end"/>
      </w:r>
      <w:r>
        <w:t xml:space="preserve"> - Geology of the lower catchment</w:t>
      </w:r>
    </w:p>
    <w:p w14:paraId="4D30B9BA" w14:textId="77777777" w:rsidR="00A85B72" w:rsidRDefault="00F95308" w:rsidP="00A85B72">
      <w:pPr>
        <w:keepNext/>
      </w:pPr>
      <w:r>
        <w:rPr>
          <w:noProof/>
        </w:rPr>
        <w:drawing>
          <wp:inline distT="0" distB="0" distL="0" distR="0" wp14:anchorId="6281E432" wp14:editId="57EFE2D2">
            <wp:extent cx="4763912" cy="4501293"/>
            <wp:effectExtent l="0" t="0" r="0" b="0"/>
            <wp:docPr id="7" name="Picture 6" descr="WA geology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 geology 3.jpg"/>
                    <pic:cNvPicPr/>
                  </pic:nvPicPr>
                  <pic:blipFill>
                    <a:blip r:embed="rId23" cstate="print"/>
                    <a:stretch>
                      <a:fillRect/>
                    </a:stretch>
                  </pic:blipFill>
                  <pic:spPr>
                    <a:xfrm>
                      <a:off x="0" y="0"/>
                      <a:ext cx="4777191" cy="4513840"/>
                    </a:xfrm>
                    <a:prstGeom prst="rect">
                      <a:avLst/>
                    </a:prstGeom>
                  </pic:spPr>
                </pic:pic>
              </a:graphicData>
            </a:graphic>
          </wp:inline>
        </w:drawing>
      </w:r>
    </w:p>
    <w:p w14:paraId="5A8616F6" w14:textId="56090B1D" w:rsidR="00F95308" w:rsidRDefault="00A85B72" w:rsidP="00A85B72">
      <w:pPr>
        <w:pStyle w:val="Caption"/>
      </w:pPr>
      <w:r>
        <w:t xml:space="preserve">Figure </w:t>
      </w:r>
      <w:r w:rsidR="00E616B5">
        <w:fldChar w:fldCharType="begin"/>
      </w:r>
      <w:r w:rsidR="00E616B5">
        <w:instrText xml:space="preserve"> SEQ Figure \* ARABIC </w:instrText>
      </w:r>
      <w:r w:rsidR="00E616B5">
        <w:fldChar w:fldCharType="separate"/>
      </w:r>
      <w:r w:rsidR="00B87AA0">
        <w:rPr>
          <w:noProof/>
        </w:rPr>
        <w:t>8</w:t>
      </w:r>
      <w:r w:rsidR="00E616B5">
        <w:rPr>
          <w:noProof/>
        </w:rPr>
        <w:fldChar w:fldCharType="end"/>
      </w:r>
      <w:r>
        <w:t xml:space="preserve"> - Geology of the downstream waterbody</w:t>
      </w:r>
    </w:p>
    <w:p w14:paraId="652BAFE2" w14:textId="77777777" w:rsidR="003B71B7" w:rsidRDefault="00680BF4" w:rsidP="00261ED1">
      <w:pPr>
        <w:rPr>
          <w:b/>
          <w:sz w:val="28"/>
          <w:szCs w:val="28"/>
        </w:rPr>
      </w:pPr>
      <w:r>
        <w:rPr>
          <w:b/>
          <w:sz w:val="28"/>
          <w:szCs w:val="28"/>
        </w:rPr>
        <w:lastRenderedPageBreak/>
        <w:t>B</w:t>
      </w:r>
      <w:r w:rsidR="003B71B7">
        <w:rPr>
          <w:b/>
          <w:sz w:val="28"/>
          <w:szCs w:val="28"/>
        </w:rPr>
        <w:t>iolog</w:t>
      </w:r>
      <w:r w:rsidR="00FB2AC7">
        <w:rPr>
          <w:b/>
          <w:sz w:val="28"/>
          <w:szCs w:val="28"/>
        </w:rPr>
        <w:t>ical / ecological</w:t>
      </w:r>
      <w:r w:rsidR="00615674">
        <w:rPr>
          <w:b/>
          <w:sz w:val="28"/>
          <w:szCs w:val="28"/>
        </w:rPr>
        <w:t xml:space="preserve"> info</w:t>
      </w:r>
    </w:p>
    <w:p w14:paraId="58076D1B" w14:textId="77777777" w:rsidR="0007259B" w:rsidRDefault="00847899" w:rsidP="0007259B">
      <w:pPr>
        <w:autoSpaceDE w:val="0"/>
        <w:autoSpaceDN w:val="0"/>
        <w:adjustRightInd w:val="0"/>
        <w:jc w:val="left"/>
      </w:pPr>
      <w:r>
        <w:t>The West Allen from Source to West Allen</w:t>
      </w:r>
      <w:r w:rsidR="00C41D17">
        <w:t xml:space="preserve"> is currently classified as High for Invertebrates and Macrophytes</w:t>
      </w:r>
      <w:r w:rsidR="00DE7601">
        <w:t xml:space="preserve"> based on 2015 data. </w:t>
      </w:r>
    </w:p>
    <w:p w14:paraId="2FF19640" w14:textId="672E8E42" w:rsidR="00813A06" w:rsidRPr="0007259B" w:rsidRDefault="00DE7601" w:rsidP="0007259B">
      <w:pPr>
        <w:autoSpaceDE w:val="0"/>
        <w:autoSpaceDN w:val="0"/>
        <w:adjustRightInd w:val="0"/>
        <w:jc w:val="left"/>
        <w:rPr>
          <w:sz w:val="28"/>
        </w:rPr>
      </w:pPr>
      <w:r>
        <w:t>This is further backed up by biological monitoring that was carried out by AECOM in 2014 in this catchment, the findings across 8 sample sites throughout the catchment</w:t>
      </w:r>
      <w:r w:rsidR="0007259B">
        <w:t xml:space="preserve"> show</w:t>
      </w:r>
      <w:r w:rsidR="00695ACE">
        <w:t>ed that m</w:t>
      </w:r>
      <w:r w:rsidR="0007259B">
        <w:t>acro</w:t>
      </w:r>
      <w:r w:rsidR="00695ACE">
        <w:t xml:space="preserve"> </w:t>
      </w:r>
      <w:r w:rsidR="0007259B">
        <w:t>invertebrate data reached good or high status at all sites in all seasons. The 8 sites included locations both upstream of mining impacts and directly downstream of mining impacts. It also included sites in the downstream water body, West Allen from Wellhope burn to Allen and a site in Wellhope (Mohope) burn. The report concluded that “</w:t>
      </w:r>
      <w:r w:rsidR="0007259B" w:rsidRPr="0007259B">
        <w:rPr>
          <w:rFonts w:cs="Arial"/>
          <w:szCs w:val="18"/>
        </w:rPr>
        <w:t>Overall, the macro</w:t>
      </w:r>
      <w:r w:rsidR="00695ACE">
        <w:rPr>
          <w:rFonts w:cs="Arial"/>
          <w:szCs w:val="18"/>
        </w:rPr>
        <w:t xml:space="preserve"> </w:t>
      </w:r>
      <w:r w:rsidR="0007259B" w:rsidRPr="0007259B">
        <w:rPr>
          <w:rFonts w:cs="Arial"/>
          <w:szCs w:val="18"/>
        </w:rPr>
        <w:t>invertebrate communities observed for this catchment across the three seasons did not show a</w:t>
      </w:r>
      <w:r w:rsidR="0007259B">
        <w:rPr>
          <w:rFonts w:cs="Arial"/>
          <w:szCs w:val="18"/>
        </w:rPr>
        <w:t xml:space="preserve"> </w:t>
      </w:r>
      <w:r w:rsidR="0007259B" w:rsidRPr="0007259B">
        <w:rPr>
          <w:rFonts w:cs="Arial"/>
          <w:szCs w:val="18"/>
        </w:rPr>
        <w:t>consistent pattern of respons</w:t>
      </w:r>
      <w:r w:rsidR="0007259B">
        <w:rPr>
          <w:rFonts w:cs="Arial"/>
          <w:szCs w:val="18"/>
        </w:rPr>
        <w:t xml:space="preserve">e to heavy metal concentrations </w:t>
      </w:r>
      <w:r w:rsidR="0007259B" w:rsidRPr="0007259B">
        <w:rPr>
          <w:rFonts w:cs="Arial"/>
          <w:szCs w:val="18"/>
        </w:rPr>
        <w:t>moving downstream</w:t>
      </w:r>
      <w:r w:rsidR="0007259B">
        <w:rPr>
          <w:rFonts w:cs="Arial"/>
          <w:szCs w:val="18"/>
        </w:rPr>
        <w:t>”.</w:t>
      </w:r>
    </w:p>
    <w:p w14:paraId="316FD6C5" w14:textId="77777777" w:rsidR="003B71B7" w:rsidRDefault="003B71B7" w:rsidP="00261ED1">
      <w:pPr>
        <w:rPr>
          <w:b/>
          <w:sz w:val="28"/>
          <w:szCs w:val="28"/>
        </w:rPr>
      </w:pPr>
    </w:p>
    <w:p w14:paraId="2A8F14B7" w14:textId="77777777" w:rsidR="003B71B7" w:rsidRDefault="003B71B7" w:rsidP="00261ED1">
      <w:pPr>
        <w:rPr>
          <w:b/>
          <w:sz w:val="28"/>
          <w:szCs w:val="28"/>
        </w:rPr>
      </w:pPr>
      <w:r>
        <w:rPr>
          <w:b/>
          <w:sz w:val="28"/>
          <w:szCs w:val="28"/>
        </w:rPr>
        <w:t>Landowners / occupiers</w:t>
      </w:r>
    </w:p>
    <w:p w14:paraId="4E1A7F74" w14:textId="653EB37A" w:rsidR="003B71B7" w:rsidRDefault="0007259B" w:rsidP="003B71B7">
      <w:r>
        <w:t>The majority of this catchment is owned by Allendale Estate. There may be small parcels of land within the valley outside of this ownership but</w:t>
      </w:r>
      <w:r w:rsidR="005301CC">
        <w:t xml:space="preserve"> no contact has been required with these land owners.</w:t>
      </w:r>
    </w:p>
    <w:p w14:paraId="69987036" w14:textId="77777777" w:rsidR="003B71B7" w:rsidRDefault="003B71B7" w:rsidP="00261ED1">
      <w:pPr>
        <w:rPr>
          <w:b/>
          <w:sz w:val="28"/>
          <w:szCs w:val="28"/>
        </w:rPr>
      </w:pPr>
    </w:p>
    <w:p w14:paraId="141E91CE" w14:textId="77777777" w:rsidR="003B71B7" w:rsidRDefault="003B71B7" w:rsidP="00261ED1">
      <w:pPr>
        <w:rPr>
          <w:b/>
          <w:sz w:val="28"/>
          <w:szCs w:val="28"/>
        </w:rPr>
      </w:pPr>
      <w:r>
        <w:rPr>
          <w:b/>
          <w:sz w:val="28"/>
          <w:szCs w:val="28"/>
        </w:rPr>
        <w:t>Stakeholders</w:t>
      </w:r>
      <w:r w:rsidR="00813A06">
        <w:rPr>
          <w:b/>
          <w:sz w:val="28"/>
          <w:szCs w:val="28"/>
        </w:rPr>
        <w:t xml:space="preserve"> and discussions to date</w:t>
      </w:r>
    </w:p>
    <w:p w14:paraId="73CC3D23" w14:textId="77777777" w:rsidR="003B71B7" w:rsidRDefault="005301CC" w:rsidP="00813A06">
      <w:r>
        <w:t>Natural England</w:t>
      </w:r>
    </w:p>
    <w:p w14:paraId="7D52557B" w14:textId="5FE3415E" w:rsidR="005301CC" w:rsidRDefault="005301CC" w:rsidP="00813A06">
      <w:r>
        <w:t xml:space="preserve">The mine site is a Scheduled Ancient Monument, discussions have been held to establish what would be acceptable development on the </w:t>
      </w:r>
      <w:r w:rsidR="00695ACE">
        <w:t>mine site</w:t>
      </w:r>
      <w:r>
        <w:t>. They have been involved</w:t>
      </w:r>
      <w:r w:rsidR="00772C86">
        <w:t xml:space="preserve"> in discussion to install drainage on the site and regarding repairs to the retaining wall and tailings facility.</w:t>
      </w:r>
    </w:p>
    <w:p w14:paraId="5AA653EE" w14:textId="77777777" w:rsidR="005301CC" w:rsidRDefault="005301CC" w:rsidP="00813A06"/>
    <w:p w14:paraId="39EEC23B" w14:textId="012A2F76" w:rsidR="005301CC" w:rsidRDefault="005301CC" w:rsidP="00813A06">
      <w:r>
        <w:t>The</w:t>
      </w:r>
      <w:r w:rsidR="00772C86">
        <w:t>re</w:t>
      </w:r>
      <w:r>
        <w:t xml:space="preserve"> have </w:t>
      </w:r>
      <w:r w:rsidR="00772C86">
        <w:t>b</w:t>
      </w:r>
      <w:r>
        <w:t>een discussions about the use of the moorland opposite to accommodate a treatment scheme as it carried various designations, the outcome of these discussion</w:t>
      </w:r>
      <w:r w:rsidR="009E3844">
        <w:t>s</w:t>
      </w:r>
      <w:r>
        <w:t xml:space="preserve"> </w:t>
      </w:r>
      <w:r w:rsidR="009E3844">
        <w:t>being</w:t>
      </w:r>
      <w:r>
        <w:t xml:space="preserve"> that no development can take place because of the blanket bog </w:t>
      </w:r>
      <w:r w:rsidR="009E3844">
        <w:t>on the site</w:t>
      </w:r>
      <w:r>
        <w:t>.</w:t>
      </w:r>
    </w:p>
    <w:p w14:paraId="179E1313" w14:textId="77777777" w:rsidR="00772C86" w:rsidRDefault="00772C86" w:rsidP="00813A06"/>
    <w:p w14:paraId="264E77E0" w14:textId="77777777" w:rsidR="00772C86" w:rsidRDefault="00772C86" w:rsidP="00813A06">
      <w:r>
        <w:t>Northumberland County Council</w:t>
      </w:r>
    </w:p>
    <w:p w14:paraId="2B599A27" w14:textId="77777777" w:rsidR="00772C86" w:rsidRDefault="00772C86" w:rsidP="00813A06">
      <w:r>
        <w:t>Discussions relating a drainage channel and flood risk</w:t>
      </w:r>
    </w:p>
    <w:p w14:paraId="277B927A" w14:textId="77777777" w:rsidR="00772C86" w:rsidRDefault="00772C86" w:rsidP="00813A06"/>
    <w:p w14:paraId="4AAF10A9" w14:textId="77777777" w:rsidR="00772C86" w:rsidRDefault="00772C86" w:rsidP="00813A06">
      <w:r>
        <w:t>North Pennines AONB partnership – Allen Valleys Project</w:t>
      </w:r>
    </w:p>
    <w:p w14:paraId="391F0208" w14:textId="77777777" w:rsidR="00772C86" w:rsidRDefault="00772C86" w:rsidP="00813A06">
      <w:r>
        <w:t>Some partnership working with the Tyne Rivers Trust to address the upper section of the retaining wall and spoil heaps on the left bank.</w:t>
      </w:r>
    </w:p>
    <w:p w14:paraId="759DB030" w14:textId="77777777" w:rsidR="00772C86" w:rsidRDefault="00772C86" w:rsidP="00813A06"/>
    <w:p w14:paraId="3D7D25FC" w14:textId="77777777" w:rsidR="00772C86" w:rsidRDefault="00772C86" w:rsidP="00813A06">
      <w:r>
        <w:t>Tyne Rivers Trust (TRT)</w:t>
      </w:r>
    </w:p>
    <w:p w14:paraId="05271AD4" w14:textId="77777777" w:rsidR="00772C86" w:rsidRDefault="00772C86" w:rsidP="00813A06">
      <w:r>
        <w:t>Some partnership working with NPAONB partnership as described above.  TRT have also carried out diffuse intervention works at Coal cleugh and Alston cleugh</w:t>
      </w:r>
    </w:p>
    <w:p w14:paraId="483CE82B" w14:textId="77777777" w:rsidR="00772C86" w:rsidRDefault="00772C86" w:rsidP="00813A06"/>
    <w:p w14:paraId="63A39974" w14:textId="77777777" w:rsidR="00772C86" w:rsidRDefault="00772C86" w:rsidP="00813A06">
      <w:r>
        <w:t>Allendale Estates</w:t>
      </w:r>
    </w:p>
    <w:p w14:paraId="1642DD32" w14:textId="4C30A41A" w:rsidR="00772C86" w:rsidRDefault="00772C86" w:rsidP="00813A06">
      <w:r>
        <w:t xml:space="preserve">Discussions about </w:t>
      </w:r>
      <w:r w:rsidR="009E3844">
        <w:t>availability of land for a treatment scheme to be sited.</w:t>
      </w:r>
    </w:p>
    <w:p w14:paraId="1E2C89C7" w14:textId="77777777" w:rsidR="000F22E9" w:rsidRDefault="000F22E9" w:rsidP="00261ED1">
      <w:pPr>
        <w:rPr>
          <w:b/>
          <w:sz w:val="28"/>
          <w:szCs w:val="28"/>
        </w:rPr>
      </w:pPr>
    </w:p>
    <w:p w14:paraId="2DAE5D21" w14:textId="77777777" w:rsidR="007F248D" w:rsidRDefault="007F248D" w:rsidP="00261ED1">
      <w:pPr>
        <w:rPr>
          <w:b/>
          <w:sz w:val="28"/>
          <w:szCs w:val="28"/>
        </w:rPr>
      </w:pPr>
    </w:p>
    <w:p w14:paraId="28DD7C9D" w14:textId="77777777" w:rsidR="002C5185" w:rsidRDefault="002C5185" w:rsidP="00261ED1">
      <w:pPr>
        <w:rPr>
          <w:b/>
          <w:sz w:val="28"/>
          <w:szCs w:val="28"/>
        </w:rPr>
      </w:pPr>
    </w:p>
    <w:p w14:paraId="54026335" w14:textId="77777777" w:rsidR="002C5185" w:rsidRDefault="002C5185" w:rsidP="00261ED1">
      <w:pPr>
        <w:rPr>
          <w:b/>
          <w:sz w:val="28"/>
          <w:szCs w:val="28"/>
        </w:rPr>
      </w:pPr>
    </w:p>
    <w:p w14:paraId="7AA4CFBA" w14:textId="77777777" w:rsidR="002C5185" w:rsidRDefault="002C5185" w:rsidP="00261ED1">
      <w:pPr>
        <w:rPr>
          <w:b/>
          <w:sz w:val="28"/>
          <w:szCs w:val="28"/>
        </w:rPr>
      </w:pPr>
    </w:p>
    <w:p w14:paraId="1FC20CDB" w14:textId="77777777" w:rsidR="002C5185" w:rsidRDefault="002C5185" w:rsidP="00261ED1">
      <w:pPr>
        <w:rPr>
          <w:b/>
          <w:sz w:val="28"/>
          <w:szCs w:val="28"/>
        </w:rPr>
      </w:pPr>
    </w:p>
    <w:p w14:paraId="7273F1D1" w14:textId="77777777" w:rsidR="002C5185" w:rsidRDefault="002C5185" w:rsidP="00261ED1">
      <w:pPr>
        <w:rPr>
          <w:b/>
          <w:sz w:val="28"/>
          <w:szCs w:val="28"/>
        </w:rPr>
      </w:pPr>
    </w:p>
    <w:p w14:paraId="6510CAF8" w14:textId="77777777" w:rsidR="002C5185" w:rsidRDefault="002C5185" w:rsidP="00261ED1">
      <w:pPr>
        <w:rPr>
          <w:b/>
          <w:sz w:val="28"/>
          <w:szCs w:val="28"/>
        </w:rPr>
      </w:pPr>
    </w:p>
    <w:p w14:paraId="50478999" w14:textId="77777777" w:rsidR="002C5185" w:rsidRDefault="002C5185" w:rsidP="00261ED1">
      <w:pPr>
        <w:rPr>
          <w:b/>
          <w:sz w:val="28"/>
          <w:szCs w:val="28"/>
        </w:rPr>
      </w:pPr>
    </w:p>
    <w:p w14:paraId="637695EF" w14:textId="77777777" w:rsidR="002C5185" w:rsidRDefault="002C5185" w:rsidP="00261ED1">
      <w:pPr>
        <w:rPr>
          <w:b/>
          <w:sz w:val="28"/>
          <w:szCs w:val="28"/>
        </w:rPr>
      </w:pPr>
    </w:p>
    <w:p w14:paraId="5762EC7B" w14:textId="77777777" w:rsidR="002C5185" w:rsidRDefault="002C5185" w:rsidP="00261ED1">
      <w:pPr>
        <w:rPr>
          <w:b/>
          <w:sz w:val="28"/>
          <w:szCs w:val="28"/>
        </w:rPr>
      </w:pPr>
    </w:p>
    <w:p w14:paraId="091711CA" w14:textId="77777777" w:rsidR="002C5185" w:rsidRDefault="002C5185" w:rsidP="00261ED1">
      <w:pPr>
        <w:rPr>
          <w:b/>
          <w:sz w:val="28"/>
          <w:szCs w:val="28"/>
        </w:rPr>
      </w:pPr>
    </w:p>
    <w:p w14:paraId="55122376" w14:textId="77777777" w:rsidR="002C5185" w:rsidRDefault="002C5185" w:rsidP="00261ED1">
      <w:pPr>
        <w:rPr>
          <w:b/>
          <w:sz w:val="28"/>
          <w:szCs w:val="28"/>
        </w:rPr>
      </w:pPr>
    </w:p>
    <w:p w14:paraId="33E73EBC" w14:textId="77777777" w:rsidR="002C5185" w:rsidRDefault="002C5185" w:rsidP="00261ED1">
      <w:pPr>
        <w:rPr>
          <w:b/>
          <w:sz w:val="28"/>
          <w:szCs w:val="28"/>
        </w:rPr>
      </w:pPr>
    </w:p>
    <w:p w14:paraId="495E761B" w14:textId="77777777" w:rsidR="002C5185" w:rsidRDefault="002C5185" w:rsidP="00261ED1">
      <w:pPr>
        <w:rPr>
          <w:b/>
          <w:sz w:val="28"/>
          <w:szCs w:val="28"/>
        </w:rPr>
      </w:pPr>
    </w:p>
    <w:p w14:paraId="47E5D269" w14:textId="77777777" w:rsidR="002C5185" w:rsidRDefault="002C5185" w:rsidP="00261ED1">
      <w:pPr>
        <w:rPr>
          <w:b/>
          <w:sz w:val="28"/>
          <w:szCs w:val="28"/>
        </w:rPr>
      </w:pPr>
    </w:p>
    <w:p w14:paraId="1537798E" w14:textId="06786E34" w:rsidR="003B71B7" w:rsidRDefault="003B71B7" w:rsidP="00261ED1">
      <w:pPr>
        <w:rPr>
          <w:b/>
          <w:sz w:val="28"/>
          <w:szCs w:val="28"/>
        </w:rPr>
      </w:pPr>
      <w:r>
        <w:rPr>
          <w:b/>
          <w:sz w:val="28"/>
          <w:szCs w:val="28"/>
        </w:rPr>
        <w:lastRenderedPageBreak/>
        <w:t>Conservation and heritage designations</w:t>
      </w:r>
    </w:p>
    <w:p w14:paraId="0C3F09C4" w14:textId="77777777" w:rsidR="003B71B7" w:rsidRDefault="003211AA" w:rsidP="00813A06">
      <w:r>
        <w:t>There are various designations within the catchment wh</w:t>
      </w:r>
      <w:r w:rsidR="000F22E9">
        <w:t xml:space="preserve">ich are shown on the maps below, the details of each designation can be found in Appendix </w:t>
      </w:r>
      <w:r w:rsidR="000F22E9" w:rsidRPr="000F22E9">
        <w:t>1</w:t>
      </w:r>
      <w:r w:rsidR="000F22E9">
        <w:t>.</w:t>
      </w:r>
    </w:p>
    <w:p w14:paraId="69665B20" w14:textId="77777777" w:rsidR="003211AA" w:rsidRDefault="003211AA" w:rsidP="00813A06"/>
    <w:p w14:paraId="660B5971" w14:textId="77777777" w:rsidR="004D2442" w:rsidRDefault="004D2442" w:rsidP="00813A06"/>
    <w:p w14:paraId="3C707AEA" w14:textId="77777777" w:rsidR="00A85B72" w:rsidRDefault="005245A5" w:rsidP="00A85B72">
      <w:pPr>
        <w:keepNext/>
      </w:pPr>
      <w:r>
        <w:rPr>
          <w:noProof/>
        </w:rPr>
        <w:drawing>
          <wp:inline distT="0" distB="0" distL="0" distR="0" wp14:anchorId="534C0BF1" wp14:editId="277310C4">
            <wp:extent cx="4331569" cy="4093179"/>
            <wp:effectExtent l="19050" t="0" r="0" b="0"/>
            <wp:docPr id="8" name="Picture 7" descr="SSSI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SI map.jpg"/>
                    <pic:cNvPicPr/>
                  </pic:nvPicPr>
                  <pic:blipFill>
                    <a:blip r:embed="rId24" cstate="print"/>
                    <a:stretch>
                      <a:fillRect/>
                    </a:stretch>
                  </pic:blipFill>
                  <pic:spPr>
                    <a:xfrm>
                      <a:off x="0" y="0"/>
                      <a:ext cx="4337687" cy="4098960"/>
                    </a:xfrm>
                    <a:prstGeom prst="rect">
                      <a:avLst/>
                    </a:prstGeom>
                  </pic:spPr>
                </pic:pic>
              </a:graphicData>
            </a:graphic>
          </wp:inline>
        </w:drawing>
      </w:r>
    </w:p>
    <w:p w14:paraId="4763E176" w14:textId="29FD2EDF" w:rsidR="003211AA" w:rsidRDefault="00A85B72" w:rsidP="00A85B72">
      <w:pPr>
        <w:pStyle w:val="Caption"/>
      </w:pPr>
      <w:r>
        <w:t xml:space="preserve">Figure </w:t>
      </w:r>
      <w:r w:rsidR="00E616B5">
        <w:fldChar w:fldCharType="begin"/>
      </w:r>
      <w:r w:rsidR="00E616B5">
        <w:instrText xml:space="preserve"> SEQ Figure \* ARABIC </w:instrText>
      </w:r>
      <w:r w:rsidR="00E616B5">
        <w:fldChar w:fldCharType="separate"/>
      </w:r>
      <w:r w:rsidR="00B87AA0">
        <w:rPr>
          <w:noProof/>
        </w:rPr>
        <w:t>9</w:t>
      </w:r>
      <w:r w:rsidR="00E616B5">
        <w:rPr>
          <w:noProof/>
        </w:rPr>
        <w:fldChar w:fldCharType="end"/>
      </w:r>
      <w:r>
        <w:t xml:space="preserve"> - </w:t>
      </w:r>
      <w:r w:rsidRPr="00B06088">
        <w:t>Scheduled Ancient Monuments (SAM)</w:t>
      </w:r>
    </w:p>
    <w:p w14:paraId="5DCD4B53" w14:textId="77777777" w:rsidR="003211AA" w:rsidRDefault="003211AA" w:rsidP="00813A06"/>
    <w:p w14:paraId="775C6B76" w14:textId="77777777" w:rsidR="00A85B72" w:rsidRDefault="00A85B72" w:rsidP="00813A06"/>
    <w:p w14:paraId="2F937D49" w14:textId="77777777" w:rsidR="00A85B72" w:rsidRDefault="00A85B72" w:rsidP="00813A06"/>
    <w:p w14:paraId="483A3741" w14:textId="77777777" w:rsidR="00A85B72" w:rsidRDefault="00A85B72" w:rsidP="00813A06"/>
    <w:p w14:paraId="7C669B5E" w14:textId="77777777" w:rsidR="00A85B72" w:rsidRDefault="00A85B72" w:rsidP="00813A06"/>
    <w:p w14:paraId="07634E6D" w14:textId="77777777" w:rsidR="00A85B72" w:rsidRDefault="00A85B72" w:rsidP="00813A06"/>
    <w:p w14:paraId="3FBFDCCD" w14:textId="77777777" w:rsidR="00A85B72" w:rsidRDefault="005245A5" w:rsidP="00A85B72">
      <w:pPr>
        <w:keepNext/>
      </w:pPr>
      <w:r>
        <w:rPr>
          <w:noProof/>
        </w:rPr>
        <w:lastRenderedPageBreak/>
        <w:drawing>
          <wp:inline distT="0" distB="0" distL="0" distR="0" wp14:anchorId="0456FE7B" wp14:editId="186D6EE8">
            <wp:extent cx="4339170" cy="4100362"/>
            <wp:effectExtent l="19050" t="0" r="4230" b="0"/>
            <wp:docPr id="9" name="Picture 8" descr="SPA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 Map.jpg"/>
                    <pic:cNvPicPr/>
                  </pic:nvPicPr>
                  <pic:blipFill>
                    <a:blip r:embed="rId25" cstate="print"/>
                    <a:stretch>
                      <a:fillRect/>
                    </a:stretch>
                  </pic:blipFill>
                  <pic:spPr>
                    <a:xfrm>
                      <a:off x="0" y="0"/>
                      <a:ext cx="4357776" cy="4117944"/>
                    </a:xfrm>
                    <a:prstGeom prst="rect">
                      <a:avLst/>
                    </a:prstGeom>
                  </pic:spPr>
                </pic:pic>
              </a:graphicData>
            </a:graphic>
          </wp:inline>
        </w:drawing>
      </w:r>
    </w:p>
    <w:p w14:paraId="6222EEC9" w14:textId="40C59B6F" w:rsidR="005245A5" w:rsidRDefault="00A85B72" w:rsidP="00A85B72">
      <w:pPr>
        <w:pStyle w:val="Caption"/>
      </w:pPr>
      <w:r>
        <w:t xml:space="preserve">Figure </w:t>
      </w:r>
      <w:r w:rsidR="00E616B5">
        <w:fldChar w:fldCharType="begin"/>
      </w:r>
      <w:r w:rsidR="00E616B5">
        <w:instrText xml:space="preserve"> SEQ Figure \* ARABIC </w:instrText>
      </w:r>
      <w:r w:rsidR="00E616B5">
        <w:fldChar w:fldCharType="separate"/>
      </w:r>
      <w:r w:rsidR="00B87AA0">
        <w:rPr>
          <w:noProof/>
        </w:rPr>
        <w:t>10</w:t>
      </w:r>
      <w:r w:rsidR="00E616B5">
        <w:rPr>
          <w:noProof/>
        </w:rPr>
        <w:fldChar w:fldCharType="end"/>
      </w:r>
      <w:r>
        <w:t xml:space="preserve"> - </w:t>
      </w:r>
      <w:r w:rsidRPr="00E15D8F">
        <w:t>Special Protection Area (SPA)</w:t>
      </w:r>
    </w:p>
    <w:p w14:paraId="7F9203B3" w14:textId="77777777" w:rsidR="007F248D" w:rsidRDefault="007F248D" w:rsidP="005245A5"/>
    <w:p w14:paraId="1FA4F240" w14:textId="77777777" w:rsidR="007F248D" w:rsidRDefault="007F248D" w:rsidP="005245A5"/>
    <w:p w14:paraId="15EE3D6C" w14:textId="77777777" w:rsidR="007F248D" w:rsidRDefault="007F248D" w:rsidP="005245A5"/>
    <w:p w14:paraId="6FB7063D" w14:textId="77777777" w:rsidR="007F248D" w:rsidRDefault="007F248D" w:rsidP="005245A5"/>
    <w:p w14:paraId="364FF832" w14:textId="77777777" w:rsidR="00A85B72" w:rsidRDefault="005245A5" w:rsidP="00A85B72">
      <w:pPr>
        <w:keepNext/>
      </w:pPr>
      <w:r>
        <w:rPr>
          <w:noProof/>
        </w:rPr>
        <w:drawing>
          <wp:inline distT="0" distB="0" distL="0" distR="0" wp14:anchorId="394472EE" wp14:editId="11F9D43A">
            <wp:extent cx="4264192" cy="4029513"/>
            <wp:effectExtent l="19050" t="0" r="3008" b="0"/>
            <wp:docPr id="10" name="Picture 9" descr="SAC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C map.jpg"/>
                    <pic:cNvPicPr/>
                  </pic:nvPicPr>
                  <pic:blipFill>
                    <a:blip r:embed="rId26" cstate="print"/>
                    <a:stretch>
                      <a:fillRect/>
                    </a:stretch>
                  </pic:blipFill>
                  <pic:spPr>
                    <a:xfrm>
                      <a:off x="0" y="0"/>
                      <a:ext cx="4280716" cy="4045127"/>
                    </a:xfrm>
                    <a:prstGeom prst="rect">
                      <a:avLst/>
                    </a:prstGeom>
                  </pic:spPr>
                </pic:pic>
              </a:graphicData>
            </a:graphic>
          </wp:inline>
        </w:drawing>
      </w:r>
    </w:p>
    <w:p w14:paraId="08E7EAD5" w14:textId="11897F71" w:rsidR="005245A5" w:rsidRDefault="00A85B72" w:rsidP="00A85B72">
      <w:pPr>
        <w:pStyle w:val="Caption"/>
      </w:pPr>
      <w:r>
        <w:t xml:space="preserve">Figure </w:t>
      </w:r>
      <w:r w:rsidR="00E616B5">
        <w:fldChar w:fldCharType="begin"/>
      </w:r>
      <w:r w:rsidR="00E616B5">
        <w:instrText xml:space="preserve"> SEQ Figure \* ARABIC </w:instrText>
      </w:r>
      <w:r w:rsidR="00E616B5">
        <w:fldChar w:fldCharType="separate"/>
      </w:r>
      <w:r w:rsidR="00B87AA0">
        <w:rPr>
          <w:noProof/>
        </w:rPr>
        <w:t>11</w:t>
      </w:r>
      <w:r w:rsidR="00E616B5">
        <w:rPr>
          <w:noProof/>
        </w:rPr>
        <w:fldChar w:fldCharType="end"/>
      </w:r>
      <w:r>
        <w:t xml:space="preserve"> - </w:t>
      </w:r>
      <w:r w:rsidRPr="008166C2">
        <w:t>Special Area of Conservation</w:t>
      </w:r>
      <w:r>
        <w:t xml:space="preserve"> (SAC)</w:t>
      </w:r>
    </w:p>
    <w:p w14:paraId="4428A739" w14:textId="77777777" w:rsidR="005245A5" w:rsidRDefault="005245A5" w:rsidP="00261ED1">
      <w:pPr>
        <w:rPr>
          <w:b/>
          <w:sz w:val="28"/>
          <w:szCs w:val="28"/>
        </w:rPr>
      </w:pPr>
    </w:p>
    <w:p w14:paraId="1B02DB52" w14:textId="77777777" w:rsidR="00A85B72" w:rsidRDefault="005245A5" w:rsidP="00A85B72">
      <w:pPr>
        <w:keepNext/>
      </w:pPr>
      <w:r>
        <w:rPr>
          <w:b/>
          <w:noProof/>
          <w:sz w:val="28"/>
          <w:szCs w:val="28"/>
        </w:rPr>
        <w:drawing>
          <wp:inline distT="0" distB="0" distL="0" distR="0" wp14:anchorId="384F7EA7" wp14:editId="5CBA8E61">
            <wp:extent cx="4261652" cy="4027110"/>
            <wp:effectExtent l="19050" t="0" r="5548" b="0"/>
            <wp:docPr id="14" name="Picture 13" descr="AONB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NB map.jpg"/>
                    <pic:cNvPicPr/>
                  </pic:nvPicPr>
                  <pic:blipFill>
                    <a:blip r:embed="rId27" cstate="print"/>
                    <a:stretch>
                      <a:fillRect/>
                    </a:stretch>
                  </pic:blipFill>
                  <pic:spPr>
                    <a:xfrm>
                      <a:off x="0" y="0"/>
                      <a:ext cx="4272489" cy="4037351"/>
                    </a:xfrm>
                    <a:prstGeom prst="rect">
                      <a:avLst/>
                    </a:prstGeom>
                  </pic:spPr>
                </pic:pic>
              </a:graphicData>
            </a:graphic>
          </wp:inline>
        </w:drawing>
      </w:r>
    </w:p>
    <w:p w14:paraId="57A493D5" w14:textId="74E7E438" w:rsidR="00A85B72" w:rsidRDefault="00A85B72" w:rsidP="00A85B72">
      <w:pPr>
        <w:pStyle w:val="Caption"/>
      </w:pPr>
      <w:r>
        <w:t xml:space="preserve">Figure </w:t>
      </w:r>
      <w:r w:rsidR="00E616B5">
        <w:fldChar w:fldCharType="begin"/>
      </w:r>
      <w:r w:rsidR="00E616B5">
        <w:instrText xml:space="preserve"> SEQ Figure \* ARABIC </w:instrText>
      </w:r>
      <w:r w:rsidR="00E616B5">
        <w:fldChar w:fldCharType="separate"/>
      </w:r>
      <w:r w:rsidR="00B87AA0">
        <w:rPr>
          <w:noProof/>
        </w:rPr>
        <w:t>12</w:t>
      </w:r>
      <w:r w:rsidR="00E616B5">
        <w:rPr>
          <w:noProof/>
        </w:rPr>
        <w:fldChar w:fldCharType="end"/>
      </w:r>
      <w:r>
        <w:t xml:space="preserve"> - </w:t>
      </w:r>
      <w:r w:rsidRPr="005D5FD8">
        <w:t>Area of Outstanding Natural Beauty (AONB)</w:t>
      </w:r>
    </w:p>
    <w:p w14:paraId="4042B088" w14:textId="08575FCC" w:rsidR="005245A5" w:rsidRPr="005245A5" w:rsidRDefault="005245A5" w:rsidP="00261ED1">
      <w:r>
        <w:rPr>
          <w:b/>
          <w:sz w:val="28"/>
          <w:szCs w:val="28"/>
        </w:rPr>
        <w:t xml:space="preserve"> </w:t>
      </w:r>
    </w:p>
    <w:p w14:paraId="679D5ED5" w14:textId="77777777" w:rsidR="003B71B7" w:rsidRDefault="003B71B7" w:rsidP="00261ED1">
      <w:pPr>
        <w:rPr>
          <w:b/>
          <w:sz w:val="28"/>
          <w:szCs w:val="28"/>
        </w:rPr>
      </w:pPr>
      <w:r>
        <w:rPr>
          <w:b/>
          <w:sz w:val="28"/>
          <w:szCs w:val="28"/>
        </w:rPr>
        <w:t xml:space="preserve">Monitoring programme </w:t>
      </w:r>
    </w:p>
    <w:p w14:paraId="204CDF1F" w14:textId="23510893" w:rsidR="00F93704" w:rsidRPr="00132B5D" w:rsidRDefault="00132B5D" w:rsidP="00261ED1">
      <w:pPr>
        <w:rPr>
          <w:szCs w:val="28"/>
        </w:rPr>
      </w:pPr>
      <w:r>
        <w:rPr>
          <w:szCs w:val="28"/>
        </w:rPr>
        <w:t xml:space="preserve">A monitoring programme has been in place on the West Allen around the Barney Craig discharge since May 2012, however, there was no flow monitoring on the Barney Craig adit and the most downstream sample point was WA2. In January 2014 </w:t>
      </w:r>
      <w:r w:rsidR="00206DFF">
        <w:rPr>
          <w:szCs w:val="28"/>
        </w:rPr>
        <w:t>f</w:t>
      </w:r>
      <w:r>
        <w:rPr>
          <w:szCs w:val="28"/>
        </w:rPr>
        <w:t>low monitoring became available for the Barney Craig discharge and an additional sample point was included at Hindley Wrae ford, WA1</w:t>
      </w:r>
      <w:r w:rsidR="00206DFF">
        <w:rPr>
          <w:szCs w:val="28"/>
        </w:rPr>
        <w:t>, the</w:t>
      </w:r>
      <w:r>
        <w:rPr>
          <w:szCs w:val="28"/>
        </w:rPr>
        <w:t xml:space="preserve"> </w:t>
      </w:r>
      <w:r w:rsidR="00206DFF">
        <w:rPr>
          <w:szCs w:val="28"/>
        </w:rPr>
        <w:t xml:space="preserve">monitoring programme shown below in table </w:t>
      </w:r>
      <w:r w:rsidR="00A85B72" w:rsidRPr="00A85B72">
        <w:rPr>
          <w:b/>
          <w:szCs w:val="28"/>
        </w:rPr>
        <w:t>1</w:t>
      </w:r>
      <w:r w:rsidR="00206DFF" w:rsidRPr="00A85B72">
        <w:rPr>
          <w:b/>
          <w:szCs w:val="28"/>
        </w:rPr>
        <w:t xml:space="preserve"> </w:t>
      </w:r>
      <w:r w:rsidR="00206DFF">
        <w:rPr>
          <w:szCs w:val="28"/>
        </w:rPr>
        <w:t>was then carried out over a period of 12 months</w:t>
      </w:r>
      <w:r>
        <w:rPr>
          <w:szCs w:val="28"/>
        </w:rPr>
        <w:t xml:space="preserve">. The data included in this report focuses on the data gathered in 2014 as it is the most comprehensive </w:t>
      </w:r>
      <w:r w:rsidR="00494A8D">
        <w:rPr>
          <w:szCs w:val="28"/>
        </w:rPr>
        <w:t>and up to date data set.</w:t>
      </w:r>
    </w:p>
    <w:p w14:paraId="40187A29" w14:textId="77777777" w:rsidR="00F93704" w:rsidRDefault="00F93704" w:rsidP="00261ED1">
      <w:pPr>
        <w:rPr>
          <w:b/>
          <w:sz w:val="28"/>
          <w:szCs w:val="28"/>
        </w:rPr>
      </w:pPr>
    </w:p>
    <w:tbl>
      <w:tblPr>
        <w:tblStyle w:val="TableGrid"/>
        <w:tblW w:w="9463" w:type="dxa"/>
        <w:tblLayout w:type="fixed"/>
        <w:tblLook w:val="04A0" w:firstRow="1" w:lastRow="0" w:firstColumn="1" w:lastColumn="0" w:noHBand="0" w:noVBand="1"/>
      </w:tblPr>
      <w:tblGrid>
        <w:gridCol w:w="2235"/>
        <w:gridCol w:w="1134"/>
        <w:gridCol w:w="2126"/>
        <w:gridCol w:w="1984"/>
        <w:gridCol w:w="1984"/>
      </w:tblGrid>
      <w:tr w:rsidR="007A6CEB" w:rsidRPr="00E2261B" w14:paraId="22159110" w14:textId="77777777" w:rsidTr="00206DFF">
        <w:tc>
          <w:tcPr>
            <w:tcW w:w="2235" w:type="dxa"/>
            <w:shd w:val="clear" w:color="auto" w:fill="F2DBDB" w:themeFill="accent2" w:themeFillTint="33"/>
          </w:tcPr>
          <w:p w14:paraId="1B4C02F9" w14:textId="77777777" w:rsidR="007A6CEB" w:rsidRPr="00E2261B" w:rsidRDefault="007A6CEB" w:rsidP="00206DFF">
            <w:pPr>
              <w:jc w:val="center"/>
              <w:rPr>
                <w:b/>
              </w:rPr>
            </w:pPr>
            <w:r w:rsidRPr="00E2261B">
              <w:rPr>
                <w:b/>
              </w:rPr>
              <w:t>Location</w:t>
            </w:r>
          </w:p>
        </w:tc>
        <w:tc>
          <w:tcPr>
            <w:tcW w:w="1134" w:type="dxa"/>
            <w:shd w:val="clear" w:color="auto" w:fill="F2DBDB" w:themeFill="accent2" w:themeFillTint="33"/>
          </w:tcPr>
          <w:p w14:paraId="4E1ACC05" w14:textId="77777777" w:rsidR="007A6CEB" w:rsidRPr="00E2261B" w:rsidRDefault="007A6CEB" w:rsidP="00206DFF">
            <w:pPr>
              <w:ind w:right="-108"/>
              <w:jc w:val="center"/>
              <w:rPr>
                <w:b/>
              </w:rPr>
            </w:pPr>
            <w:r w:rsidRPr="00E2261B">
              <w:rPr>
                <w:b/>
              </w:rPr>
              <w:t>Short ref</w:t>
            </w:r>
          </w:p>
        </w:tc>
        <w:tc>
          <w:tcPr>
            <w:tcW w:w="2126" w:type="dxa"/>
            <w:shd w:val="clear" w:color="auto" w:fill="F2DBDB" w:themeFill="accent2" w:themeFillTint="33"/>
          </w:tcPr>
          <w:p w14:paraId="7511B32E" w14:textId="77777777" w:rsidR="007A6CEB" w:rsidRPr="00E2261B" w:rsidRDefault="007A6CEB" w:rsidP="00206DFF">
            <w:pPr>
              <w:ind w:right="-56"/>
              <w:jc w:val="center"/>
              <w:rPr>
                <w:b/>
              </w:rPr>
            </w:pPr>
            <w:r w:rsidRPr="00E2261B">
              <w:rPr>
                <w:b/>
              </w:rPr>
              <w:t>Gauge type</w:t>
            </w:r>
          </w:p>
        </w:tc>
        <w:tc>
          <w:tcPr>
            <w:tcW w:w="1984" w:type="dxa"/>
            <w:shd w:val="clear" w:color="auto" w:fill="F2DBDB" w:themeFill="accent2" w:themeFillTint="33"/>
          </w:tcPr>
          <w:p w14:paraId="4313E3F9" w14:textId="77777777" w:rsidR="007A6CEB" w:rsidRPr="00E2261B" w:rsidRDefault="007A6CEB" w:rsidP="00206DFF">
            <w:pPr>
              <w:ind w:right="868"/>
              <w:jc w:val="center"/>
              <w:rPr>
                <w:b/>
              </w:rPr>
            </w:pPr>
            <w:r w:rsidRPr="00E2261B">
              <w:rPr>
                <w:b/>
              </w:rPr>
              <w:t>NGR</w:t>
            </w:r>
          </w:p>
        </w:tc>
        <w:tc>
          <w:tcPr>
            <w:tcW w:w="1984" w:type="dxa"/>
            <w:shd w:val="clear" w:color="auto" w:fill="F2DBDB" w:themeFill="accent2" w:themeFillTint="33"/>
          </w:tcPr>
          <w:p w14:paraId="6D1D8F76" w14:textId="77777777" w:rsidR="007A6CEB" w:rsidRPr="00E2261B" w:rsidRDefault="007A6CEB" w:rsidP="00206DFF">
            <w:pPr>
              <w:ind w:right="868"/>
              <w:jc w:val="center"/>
              <w:rPr>
                <w:b/>
              </w:rPr>
            </w:pPr>
            <w:r>
              <w:rPr>
                <w:b/>
              </w:rPr>
              <w:t>Sample suite</w:t>
            </w:r>
          </w:p>
        </w:tc>
      </w:tr>
      <w:tr w:rsidR="007A6CEB" w:rsidRPr="00D4140C" w14:paraId="2ED3B157" w14:textId="77777777" w:rsidTr="007A6CEB">
        <w:tc>
          <w:tcPr>
            <w:tcW w:w="2235" w:type="dxa"/>
          </w:tcPr>
          <w:p w14:paraId="306ADB92" w14:textId="77777777" w:rsidR="007A6CEB" w:rsidRPr="00D4140C" w:rsidRDefault="007A6CEB" w:rsidP="007A6CEB">
            <w:pPr>
              <w:rPr>
                <w:szCs w:val="22"/>
              </w:rPr>
            </w:pPr>
            <w:r>
              <w:rPr>
                <w:szCs w:val="22"/>
              </w:rPr>
              <w:t>West Allen at Hindley Wrae ford</w:t>
            </w:r>
          </w:p>
        </w:tc>
        <w:tc>
          <w:tcPr>
            <w:tcW w:w="1134" w:type="dxa"/>
          </w:tcPr>
          <w:p w14:paraId="0E7631D4" w14:textId="77777777" w:rsidR="007A6CEB" w:rsidRDefault="007A6CEB" w:rsidP="007A6CEB">
            <w:pPr>
              <w:ind w:right="-108"/>
              <w:jc w:val="center"/>
              <w:rPr>
                <w:szCs w:val="22"/>
              </w:rPr>
            </w:pPr>
            <w:r>
              <w:rPr>
                <w:szCs w:val="22"/>
              </w:rPr>
              <w:t>WA1</w:t>
            </w:r>
          </w:p>
          <w:p w14:paraId="676257EC" w14:textId="77777777" w:rsidR="007A6CEB" w:rsidRPr="00D4140C" w:rsidRDefault="007A6CEB" w:rsidP="007A6CEB">
            <w:pPr>
              <w:ind w:right="-108"/>
              <w:rPr>
                <w:szCs w:val="22"/>
              </w:rPr>
            </w:pPr>
          </w:p>
        </w:tc>
        <w:tc>
          <w:tcPr>
            <w:tcW w:w="2126" w:type="dxa"/>
          </w:tcPr>
          <w:p w14:paraId="42D3E4A2" w14:textId="77777777" w:rsidR="007A6CEB" w:rsidRPr="00D4140C" w:rsidRDefault="007A6CEB" w:rsidP="007A6CEB">
            <w:pPr>
              <w:ind w:right="-56"/>
              <w:jc w:val="center"/>
              <w:rPr>
                <w:szCs w:val="22"/>
              </w:rPr>
            </w:pPr>
            <w:r>
              <w:rPr>
                <w:szCs w:val="22"/>
              </w:rPr>
              <w:t>EA gauging station</w:t>
            </w:r>
          </w:p>
        </w:tc>
        <w:tc>
          <w:tcPr>
            <w:tcW w:w="1984" w:type="dxa"/>
          </w:tcPr>
          <w:p w14:paraId="55F6E3E8" w14:textId="77777777" w:rsidR="007A6CEB" w:rsidRPr="00D4140C" w:rsidRDefault="007A6CEB" w:rsidP="007A6CEB">
            <w:pPr>
              <w:jc w:val="center"/>
              <w:rPr>
                <w:rFonts w:cs="Arial"/>
                <w:color w:val="000000"/>
                <w:szCs w:val="22"/>
              </w:rPr>
            </w:pPr>
            <w:r>
              <w:rPr>
                <w:rFonts w:cs="Arial"/>
                <w:color w:val="000000"/>
                <w:szCs w:val="22"/>
              </w:rPr>
              <w:t>NY 79050 58580</w:t>
            </w:r>
          </w:p>
        </w:tc>
        <w:tc>
          <w:tcPr>
            <w:tcW w:w="1984" w:type="dxa"/>
          </w:tcPr>
          <w:p w14:paraId="7B9218F0" w14:textId="77777777" w:rsidR="007A6CEB" w:rsidRPr="00D4140C" w:rsidRDefault="007A6CEB" w:rsidP="007A6CEB">
            <w:pPr>
              <w:jc w:val="center"/>
              <w:rPr>
                <w:rFonts w:cs="Arial"/>
                <w:color w:val="000000"/>
                <w:szCs w:val="22"/>
              </w:rPr>
            </w:pPr>
            <w:r>
              <w:rPr>
                <w:rFonts w:cs="Arial"/>
                <w:color w:val="000000"/>
                <w:szCs w:val="22"/>
              </w:rPr>
              <w:t>METSTR</w:t>
            </w:r>
          </w:p>
        </w:tc>
      </w:tr>
      <w:tr w:rsidR="007A6CEB" w:rsidRPr="00D4140C" w14:paraId="5519BCC3" w14:textId="77777777" w:rsidTr="007A6CEB">
        <w:tc>
          <w:tcPr>
            <w:tcW w:w="2235" w:type="dxa"/>
          </w:tcPr>
          <w:p w14:paraId="0A471DB7" w14:textId="77777777" w:rsidR="007A6CEB" w:rsidRPr="00D4140C" w:rsidRDefault="007A6CEB" w:rsidP="007A6CEB">
            <w:pPr>
              <w:jc w:val="center"/>
              <w:rPr>
                <w:rFonts w:ascii="Calibri" w:hAnsi="Calibri" w:cs="Calibri"/>
                <w:color w:val="000000"/>
                <w:szCs w:val="22"/>
              </w:rPr>
            </w:pPr>
            <w:r>
              <w:rPr>
                <w:rFonts w:ascii="Calibri" w:hAnsi="Calibri" w:cs="Calibri"/>
                <w:color w:val="000000"/>
                <w:szCs w:val="22"/>
              </w:rPr>
              <w:t>West Allen d/s Barney Craig mine site</w:t>
            </w:r>
          </w:p>
        </w:tc>
        <w:tc>
          <w:tcPr>
            <w:tcW w:w="1134" w:type="dxa"/>
          </w:tcPr>
          <w:p w14:paraId="654BB76A" w14:textId="77777777" w:rsidR="007A6CEB" w:rsidRPr="00D4140C" w:rsidRDefault="007A6CEB" w:rsidP="007A6CEB">
            <w:pPr>
              <w:ind w:right="-108"/>
              <w:jc w:val="center"/>
              <w:rPr>
                <w:szCs w:val="22"/>
              </w:rPr>
            </w:pPr>
            <w:r>
              <w:rPr>
                <w:szCs w:val="22"/>
              </w:rPr>
              <w:t>WA2</w:t>
            </w:r>
          </w:p>
        </w:tc>
        <w:tc>
          <w:tcPr>
            <w:tcW w:w="2126" w:type="dxa"/>
          </w:tcPr>
          <w:p w14:paraId="24C857B8" w14:textId="77777777" w:rsidR="007A6CEB" w:rsidRPr="00D4140C" w:rsidRDefault="007A6CEB" w:rsidP="007A6CEB">
            <w:pPr>
              <w:ind w:right="-56"/>
              <w:jc w:val="center"/>
              <w:rPr>
                <w:szCs w:val="22"/>
              </w:rPr>
            </w:pPr>
            <w:r>
              <w:rPr>
                <w:szCs w:val="22"/>
              </w:rPr>
              <w:t>Velocity area</w:t>
            </w:r>
          </w:p>
        </w:tc>
        <w:tc>
          <w:tcPr>
            <w:tcW w:w="1984" w:type="dxa"/>
          </w:tcPr>
          <w:p w14:paraId="34D9EB23" w14:textId="77777777" w:rsidR="007A6CEB" w:rsidRDefault="007A6CEB" w:rsidP="007A6CEB">
            <w:pPr>
              <w:jc w:val="center"/>
              <w:rPr>
                <w:rFonts w:cs="Arial"/>
                <w:color w:val="000000"/>
                <w:szCs w:val="22"/>
              </w:rPr>
            </w:pPr>
            <w:r>
              <w:rPr>
                <w:rFonts w:cs="Arial"/>
                <w:color w:val="000000"/>
                <w:szCs w:val="22"/>
              </w:rPr>
              <w:t>NY 80300 47180</w:t>
            </w:r>
          </w:p>
          <w:p w14:paraId="271E6785" w14:textId="77777777" w:rsidR="007A6CEB" w:rsidRPr="00D4140C" w:rsidRDefault="007A6CEB" w:rsidP="007A6CEB">
            <w:pPr>
              <w:jc w:val="center"/>
              <w:rPr>
                <w:rFonts w:cs="Arial"/>
                <w:color w:val="000000"/>
                <w:szCs w:val="22"/>
              </w:rPr>
            </w:pPr>
          </w:p>
        </w:tc>
        <w:tc>
          <w:tcPr>
            <w:tcW w:w="1984" w:type="dxa"/>
          </w:tcPr>
          <w:p w14:paraId="54762FEF" w14:textId="77777777" w:rsidR="007A6CEB" w:rsidRPr="00D4140C" w:rsidRDefault="007A6CEB" w:rsidP="007A6CEB">
            <w:pPr>
              <w:jc w:val="center"/>
              <w:rPr>
                <w:rFonts w:cs="Arial"/>
                <w:color w:val="000000"/>
                <w:szCs w:val="22"/>
              </w:rPr>
            </w:pPr>
            <w:r>
              <w:rPr>
                <w:rFonts w:cs="Arial"/>
                <w:color w:val="000000"/>
                <w:szCs w:val="22"/>
              </w:rPr>
              <w:t>METSTR</w:t>
            </w:r>
          </w:p>
        </w:tc>
      </w:tr>
      <w:tr w:rsidR="007A6CEB" w:rsidRPr="00D4140C" w14:paraId="21C9ABFF" w14:textId="77777777" w:rsidTr="007A6CEB">
        <w:tc>
          <w:tcPr>
            <w:tcW w:w="2235" w:type="dxa"/>
          </w:tcPr>
          <w:p w14:paraId="576B75FB" w14:textId="77777777" w:rsidR="007A6CEB" w:rsidRPr="00D4140C" w:rsidRDefault="007A6CEB" w:rsidP="007A6CEB">
            <w:pPr>
              <w:jc w:val="center"/>
              <w:rPr>
                <w:rFonts w:ascii="Calibri" w:hAnsi="Calibri" w:cs="Calibri"/>
                <w:color w:val="000000"/>
                <w:szCs w:val="22"/>
              </w:rPr>
            </w:pPr>
            <w:r>
              <w:rPr>
                <w:rFonts w:ascii="Calibri" w:hAnsi="Calibri" w:cs="Calibri"/>
                <w:color w:val="000000"/>
                <w:szCs w:val="22"/>
              </w:rPr>
              <w:t>Ditch to West Allen near Blue Row</w:t>
            </w:r>
          </w:p>
        </w:tc>
        <w:tc>
          <w:tcPr>
            <w:tcW w:w="1134" w:type="dxa"/>
          </w:tcPr>
          <w:p w14:paraId="509A02A9" w14:textId="77777777" w:rsidR="007A6CEB" w:rsidRPr="00D4140C" w:rsidRDefault="007A6CEB" w:rsidP="007A6CEB">
            <w:pPr>
              <w:ind w:right="-108"/>
              <w:jc w:val="center"/>
              <w:rPr>
                <w:szCs w:val="22"/>
              </w:rPr>
            </w:pPr>
            <w:r>
              <w:rPr>
                <w:szCs w:val="22"/>
              </w:rPr>
              <w:t>WA3</w:t>
            </w:r>
          </w:p>
        </w:tc>
        <w:tc>
          <w:tcPr>
            <w:tcW w:w="2126" w:type="dxa"/>
          </w:tcPr>
          <w:p w14:paraId="3F64FD7D" w14:textId="77777777" w:rsidR="007A6CEB" w:rsidRPr="00D4140C" w:rsidRDefault="007A6CEB" w:rsidP="007A6CEB">
            <w:pPr>
              <w:ind w:right="-56"/>
              <w:jc w:val="center"/>
              <w:rPr>
                <w:szCs w:val="22"/>
              </w:rPr>
            </w:pPr>
            <w:r>
              <w:rPr>
                <w:szCs w:val="22"/>
              </w:rPr>
              <w:t>Velocity area</w:t>
            </w:r>
          </w:p>
        </w:tc>
        <w:tc>
          <w:tcPr>
            <w:tcW w:w="1984" w:type="dxa"/>
          </w:tcPr>
          <w:p w14:paraId="205D7410" w14:textId="77777777" w:rsidR="007A6CEB" w:rsidRPr="00D4140C" w:rsidRDefault="007A6CEB" w:rsidP="007A6CEB">
            <w:pPr>
              <w:jc w:val="center"/>
              <w:rPr>
                <w:rFonts w:cs="Arial"/>
                <w:color w:val="000000"/>
                <w:szCs w:val="22"/>
              </w:rPr>
            </w:pPr>
            <w:r>
              <w:rPr>
                <w:rFonts w:cs="Arial"/>
                <w:color w:val="000000"/>
                <w:szCs w:val="22"/>
              </w:rPr>
              <w:t>NY 80340 46980</w:t>
            </w:r>
          </w:p>
        </w:tc>
        <w:tc>
          <w:tcPr>
            <w:tcW w:w="1984" w:type="dxa"/>
          </w:tcPr>
          <w:p w14:paraId="3C3A4083" w14:textId="77777777" w:rsidR="007A6CEB" w:rsidRPr="00D4140C" w:rsidRDefault="007A6CEB" w:rsidP="007A6CEB">
            <w:pPr>
              <w:jc w:val="center"/>
              <w:rPr>
                <w:rFonts w:cs="Arial"/>
                <w:color w:val="000000"/>
                <w:szCs w:val="22"/>
              </w:rPr>
            </w:pPr>
            <w:r>
              <w:rPr>
                <w:rFonts w:cs="Arial"/>
                <w:color w:val="000000"/>
                <w:szCs w:val="22"/>
              </w:rPr>
              <w:t>METSTR</w:t>
            </w:r>
          </w:p>
        </w:tc>
      </w:tr>
      <w:tr w:rsidR="007A6CEB" w:rsidRPr="00D4140C" w14:paraId="5E43162B" w14:textId="77777777" w:rsidTr="007A6CEB">
        <w:tc>
          <w:tcPr>
            <w:tcW w:w="2235" w:type="dxa"/>
          </w:tcPr>
          <w:p w14:paraId="50D81746" w14:textId="77777777" w:rsidR="007A6CEB" w:rsidRPr="00D4140C" w:rsidRDefault="007A6CEB" w:rsidP="007A6CEB">
            <w:pPr>
              <w:jc w:val="center"/>
              <w:rPr>
                <w:rFonts w:ascii="Calibri" w:hAnsi="Calibri" w:cs="Calibri"/>
                <w:color w:val="000000"/>
                <w:szCs w:val="22"/>
              </w:rPr>
            </w:pPr>
            <w:r>
              <w:rPr>
                <w:rFonts w:ascii="Calibri" w:hAnsi="Calibri" w:cs="Calibri"/>
                <w:color w:val="000000"/>
                <w:szCs w:val="22"/>
              </w:rPr>
              <w:t>Scraithole adit</w:t>
            </w:r>
          </w:p>
        </w:tc>
        <w:tc>
          <w:tcPr>
            <w:tcW w:w="1134" w:type="dxa"/>
          </w:tcPr>
          <w:p w14:paraId="0D01B6C5" w14:textId="77777777" w:rsidR="007A6CEB" w:rsidRPr="00D4140C" w:rsidRDefault="007A6CEB" w:rsidP="007A6CEB">
            <w:pPr>
              <w:ind w:right="-108"/>
              <w:jc w:val="center"/>
              <w:rPr>
                <w:szCs w:val="22"/>
              </w:rPr>
            </w:pPr>
            <w:r>
              <w:rPr>
                <w:szCs w:val="22"/>
              </w:rPr>
              <w:t>WA4</w:t>
            </w:r>
          </w:p>
        </w:tc>
        <w:tc>
          <w:tcPr>
            <w:tcW w:w="2126" w:type="dxa"/>
          </w:tcPr>
          <w:p w14:paraId="15CD4AFB" w14:textId="77777777" w:rsidR="007A6CEB" w:rsidRPr="00D4140C" w:rsidRDefault="007A6CEB" w:rsidP="007A6CEB">
            <w:pPr>
              <w:ind w:right="-56"/>
              <w:jc w:val="center"/>
              <w:rPr>
                <w:szCs w:val="22"/>
              </w:rPr>
            </w:pPr>
            <w:r>
              <w:rPr>
                <w:szCs w:val="22"/>
              </w:rPr>
              <w:t>Bucket and stopwatch</w:t>
            </w:r>
          </w:p>
        </w:tc>
        <w:tc>
          <w:tcPr>
            <w:tcW w:w="1984" w:type="dxa"/>
          </w:tcPr>
          <w:p w14:paraId="7FC2477C" w14:textId="77777777" w:rsidR="007A6CEB" w:rsidRPr="00D4140C" w:rsidRDefault="007A6CEB" w:rsidP="007A6CEB">
            <w:pPr>
              <w:jc w:val="center"/>
              <w:rPr>
                <w:rFonts w:cs="Arial"/>
                <w:color w:val="000000"/>
                <w:szCs w:val="22"/>
              </w:rPr>
            </w:pPr>
            <w:r>
              <w:rPr>
                <w:rFonts w:cs="Arial"/>
                <w:color w:val="000000"/>
                <w:szCs w:val="22"/>
              </w:rPr>
              <w:t>NY 80320 46920</w:t>
            </w:r>
          </w:p>
        </w:tc>
        <w:tc>
          <w:tcPr>
            <w:tcW w:w="1984" w:type="dxa"/>
          </w:tcPr>
          <w:p w14:paraId="5B3D6B1D" w14:textId="77777777" w:rsidR="007A6CEB" w:rsidRPr="00D4140C" w:rsidRDefault="007A6CEB" w:rsidP="007A6CEB">
            <w:pPr>
              <w:jc w:val="center"/>
              <w:rPr>
                <w:rFonts w:cs="Arial"/>
                <w:color w:val="000000"/>
                <w:szCs w:val="22"/>
              </w:rPr>
            </w:pPr>
            <w:r>
              <w:rPr>
                <w:rFonts w:cs="Arial"/>
                <w:color w:val="000000"/>
                <w:szCs w:val="22"/>
              </w:rPr>
              <w:t>METPR</w:t>
            </w:r>
          </w:p>
        </w:tc>
      </w:tr>
      <w:tr w:rsidR="007A6CEB" w:rsidRPr="00D4140C" w14:paraId="2A8DC482" w14:textId="77777777" w:rsidTr="007A6CEB">
        <w:tc>
          <w:tcPr>
            <w:tcW w:w="2235" w:type="dxa"/>
          </w:tcPr>
          <w:p w14:paraId="4EB65945" w14:textId="77777777" w:rsidR="007A6CEB" w:rsidRPr="00D4140C" w:rsidRDefault="007A6CEB" w:rsidP="007A6CEB">
            <w:pPr>
              <w:jc w:val="center"/>
              <w:rPr>
                <w:rFonts w:ascii="Calibri" w:hAnsi="Calibri" w:cs="Calibri"/>
                <w:color w:val="000000"/>
                <w:szCs w:val="22"/>
              </w:rPr>
            </w:pPr>
            <w:r>
              <w:rPr>
                <w:rFonts w:ascii="Calibri" w:hAnsi="Calibri" w:cs="Calibri"/>
                <w:color w:val="000000"/>
                <w:szCs w:val="22"/>
              </w:rPr>
              <w:t>Barney Craig adit</w:t>
            </w:r>
          </w:p>
        </w:tc>
        <w:tc>
          <w:tcPr>
            <w:tcW w:w="1134" w:type="dxa"/>
          </w:tcPr>
          <w:p w14:paraId="448B8A40" w14:textId="77777777" w:rsidR="007A6CEB" w:rsidRPr="00D4140C" w:rsidRDefault="007A6CEB" w:rsidP="007A6CEB">
            <w:pPr>
              <w:ind w:right="-108"/>
              <w:jc w:val="center"/>
              <w:rPr>
                <w:szCs w:val="22"/>
              </w:rPr>
            </w:pPr>
            <w:r>
              <w:rPr>
                <w:szCs w:val="22"/>
              </w:rPr>
              <w:t>WA5</w:t>
            </w:r>
          </w:p>
        </w:tc>
        <w:tc>
          <w:tcPr>
            <w:tcW w:w="2126" w:type="dxa"/>
          </w:tcPr>
          <w:p w14:paraId="38439F74" w14:textId="77777777" w:rsidR="007A6CEB" w:rsidRPr="00D4140C" w:rsidRDefault="007A6CEB" w:rsidP="007A6CEB">
            <w:pPr>
              <w:ind w:right="-56"/>
              <w:jc w:val="center"/>
              <w:rPr>
                <w:szCs w:val="22"/>
              </w:rPr>
            </w:pPr>
            <w:r>
              <w:rPr>
                <w:szCs w:val="22"/>
              </w:rPr>
              <w:t>CA logger</w:t>
            </w:r>
          </w:p>
        </w:tc>
        <w:tc>
          <w:tcPr>
            <w:tcW w:w="1984" w:type="dxa"/>
          </w:tcPr>
          <w:p w14:paraId="1548F5B1" w14:textId="77777777" w:rsidR="007A6CEB" w:rsidRPr="00D4140C" w:rsidRDefault="007A6CEB" w:rsidP="007A6CEB">
            <w:pPr>
              <w:jc w:val="center"/>
              <w:rPr>
                <w:rFonts w:cs="Arial"/>
                <w:color w:val="000000"/>
                <w:szCs w:val="22"/>
              </w:rPr>
            </w:pPr>
            <w:r>
              <w:rPr>
                <w:rFonts w:cs="Arial"/>
                <w:color w:val="000000"/>
                <w:szCs w:val="22"/>
              </w:rPr>
              <w:t>NY 80360 46760</w:t>
            </w:r>
          </w:p>
        </w:tc>
        <w:tc>
          <w:tcPr>
            <w:tcW w:w="1984" w:type="dxa"/>
          </w:tcPr>
          <w:p w14:paraId="2B0644E5" w14:textId="77777777" w:rsidR="007A6CEB" w:rsidRPr="00D4140C" w:rsidRDefault="007A6CEB" w:rsidP="007A6CEB">
            <w:pPr>
              <w:jc w:val="center"/>
              <w:rPr>
                <w:rFonts w:cs="Arial"/>
                <w:color w:val="000000"/>
                <w:szCs w:val="22"/>
              </w:rPr>
            </w:pPr>
            <w:r>
              <w:rPr>
                <w:rFonts w:cs="Arial"/>
                <w:color w:val="000000"/>
                <w:szCs w:val="22"/>
              </w:rPr>
              <w:t>METPR</w:t>
            </w:r>
          </w:p>
        </w:tc>
      </w:tr>
      <w:tr w:rsidR="007A6CEB" w:rsidRPr="00D4140C" w14:paraId="255A995A" w14:textId="77777777" w:rsidTr="007A6CEB">
        <w:tc>
          <w:tcPr>
            <w:tcW w:w="2235" w:type="dxa"/>
          </w:tcPr>
          <w:p w14:paraId="1BB8755D" w14:textId="77777777" w:rsidR="007A6CEB" w:rsidRPr="00D4140C" w:rsidRDefault="007A6CEB" w:rsidP="007A6CEB">
            <w:pPr>
              <w:jc w:val="center"/>
              <w:rPr>
                <w:rFonts w:ascii="Calibri" w:hAnsi="Calibri" w:cs="Calibri"/>
                <w:color w:val="000000"/>
                <w:szCs w:val="22"/>
              </w:rPr>
            </w:pPr>
            <w:r>
              <w:rPr>
                <w:rFonts w:ascii="Calibri" w:hAnsi="Calibri" w:cs="Calibri"/>
                <w:color w:val="000000"/>
                <w:szCs w:val="22"/>
              </w:rPr>
              <w:t>West Allen upstream scraithole</w:t>
            </w:r>
          </w:p>
        </w:tc>
        <w:tc>
          <w:tcPr>
            <w:tcW w:w="1134" w:type="dxa"/>
          </w:tcPr>
          <w:p w14:paraId="0E7B24DD" w14:textId="77777777" w:rsidR="007A6CEB" w:rsidRPr="00D4140C" w:rsidRDefault="007A6CEB" w:rsidP="007A6CEB">
            <w:pPr>
              <w:ind w:right="-108"/>
              <w:jc w:val="center"/>
              <w:rPr>
                <w:szCs w:val="22"/>
              </w:rPr>
            </w:pPr>
            <w:r>
              <w:rPr>
                <w:szCs w:val="22"/>
              </w:rPr>
              <w:t>WA6</w:t>
            </w:r>
          </w:p>
        </w:tc>
        <w:tc>
          <w:tcPr>
            <w:tcW w:w="2126" w:type="dxa"/>
          </w:tcPr>
          <w:p w14:paraId="2541EEFB" w14:textId="77777777" w:rsidR="007A6CEB" w:rsidRPr="00D4140C" w:rsidRDefault="007A6CEB" w:rsidP="007A6CEB">
            <w:pPr>
              <w:ind w:right="-56"/>
              <w:jc w:val="center"/>
              <w:rPr>
                <w:szCs w:val="22"/>
              </w:rPr>
            </w:pPr>
            <w:r>
              <w:rPr>
                <w:szCs w:val="22"/>
              </w:rPr>
              <w:t>Velocity area</w:t>
            </w:r>
          </w:p>
        </w:tc>
        <w:tc>
          <w:tcPr>
            <w:tcW w:w="1984" w:type="dxa"/>
          </w:tcPr>
          <w:p w14:paraId="6D79CB9A" w14:textId="77777777" w:rsidR="007A6CEB" w:rsidRPr="00D4140C" w:rsidRDefault="007A6CEB" w:rsidP="007A6CEB">
            <w:pPr>
              <w:jc w:val="center"/>
              <w:rPr>
                <w:rFonts w:cs="Arial"/>
                <w:color w:val="000000"/>
                <w:szCs w:val="22"/>
              </w:rPr>
            </w:pPr>
            <w:r>
              <w:rPr>
                <w:rFonts w:cs="Arial"/>
                <w:color w:val="000000"/>
                <w:szCs w:val="22"/>
              </w:rPr>
              <w:t>NY 80350 46650</w:t>
            </w:r>
          </w:p>
        </w:tc>
        <w:tc>
          <w:tcPr>
            <w:tcW w:w="1984" w:type="dxa"/>
          </w:tcPr>
          <w:p w14:paraId="7484CA87" w14:textId="77777777" w:rsidR="007A6CEB" w:rsidRPr="00D4140C" w:rsidRDefault="007A6CEB" w:rsidP="007A6CEB">
            <w:pPr>
              <w:keepNext/>
              <w:jc w:val="center"/>
              <w:rPr>
                <w:rFonts w:cs="Arial"/>
                <w:color w:val="000000"/>
                <w:szCs w:val="22"/>
              </w:rPr>
            </w:pPr>
            <w:r>
              <w:rPr>
                <w:rFonts w:cs="Arial"/>
                <w:color w:val="000000"/>
                <w:szCs w:val="22"/>
              </w:rPr>
              <w:t>METSTR</w:t>
            </w:r>
          </w:p>
        </w:tc>
      </w:tr>
      <w:tr w:rsidR="007A6CEB" w:rsidRPr="00D4140C" w14:paraId="1F59CE5A" w14:textId="77777777" w:rsidTr="007A6CEB">
        <w:tc>
          <w:tcPr>
            <w:tcW w:w="2235" w:type="dxa"/>
          </w:tcPr>
          <w:p w14:paraId="1FB9D25C" w14:textId="6E2D6A53" w:rsidR="007A6CEB" w:rsidRPr="00D4140C" w:rsidRDefault="00B66793" w:rsidP="00B66793">
            <w:pPr>
              <w:jc w:val="center"/>
              <w:rPr>
                <w:rFonts w:ascii="Calibri" w:hAnsi="Calibri" w:cs="Calibri"/>
                <w:color w:val="000000"/>
                <w:szCs w:val="22"/>
              </w:rPr>
            </w:pPr>
            <w:r>
              <w:rPr>
                <w:rFonts w:ascii="Calibri" w:hAnsi="Calibri" w:cs="Calibri"/>
                <w:color w:val="000000"/>
                <w:szCs w:val="22"/>
              </w:rPr>
              <w:t>Coal cleugh downstream</w:t>
            </w:r>
            <w:r w:rsidR="00695ACE">
              <w:rPr>
                <w:rFonts w:ascii="Calibri" w:hAnsi="Calibri" w:cs="Calibri"/>
                <w:color w:val="000000"/>
                <w:szCs w:val="22"/>
              </w:rPr>
              <w:t xml:space="preserve"> C</w:t>
            </w:r>
            <w:r w:rsidR="007A6CEB">
              <w:rPr>
                <w:rFonts w:ascii="Calibri" w:hAnsi="Calibri" w:cs="Calibri"/>
                <w:color w:val="000000"/>
                <w:szCs w:val="22"/>
              </w:rPr>
              <w:t>oal</w:t>
            </w:r>
            <w:r w:rsidR="00695ACE">
              <w:rPr>
                <w:rFonts w:ascii="Calibri" w:hAnsi="Calibri" w:cs="Calibri"/>
                <w:color w:val="000000"/>
                <w:szCs w:val="22"/>
              </w:rPr>
              <w:t xml:space="preserve"> </w:t>
            </w:r>
            <w:r w:rsidR="007A6CEB">
              <w:rPr>
                <w:rFonts w:ascii="Calibri" w:hAnsi="Calibri" w:cs="Calibri"/>
                <w:color w:val="000000"/>
                <w:szCs w:val="22"/>
              </w:rPr>
              <w:t>cleugh adit</w:t>
            </w:r>
          </w:p>
        </w:tc>
        <w:tc>
          <w:tcPr>
            <w:tcW w:w="1134" w:type="dxa"/>
          </w:tcPr>
          <w:p w14:paraId="36C7E3E5" w14:textId="77777777" w:rsidR="007A6CEB" w:rsidRDefault="007A6CEB" w:rsidP="007A6CEB">
            <w:pPr>
              <w:ind w:right="-108"/>
              <w:jc w:val="center"/>
              <w:rPr>
                <w:szCs w:val="22"/>
              </w:rPr>
            </w:pPr>
            <w:r>
              <w:rPr>
                <w:szCs w:val="22"/>
              </w:rPr>
              <w:t>WA7</w:t>
            </w:r>
          </w:p>
        </w:tc>
        <w:tc>
          <w:tcPr>
            <w:tcW w:w="2126" w:type="dxa"/>
          </w:tcPr>
          <w:p w14:paraId="2D7EA52E" w14:textId="77777777" w:rsidR="007A6CEB" w:rsidRPr="00D4140C" w:rsidRDefault="007A6CEB" w:rsidP="007A6CEB">
            <w:pPr>
              <w:ind w:right="-56"/>
              <w:jc w:val="center"/>
              <w:rPr>
                <w:szCs w:val="22"/>
              </w:rPr>
            </w:pPr>
            <w:r>
              <w:rPr>
                <w:szCs w:val="22"/>
              </w:rPr>
              <w:t>Velocity area</w:t>
            </w:r>
          </w:p>
        </w:tc>
        <w:tc>
          <w:tcPr>
            <w:tcW w:w="1984" w:type="dxa"/>
          </w:tcPr>
          <w:p w14:paraId="6E939925" w14:textId="77777777" w:rsidR="007A6CEB" w:rsidRPr="00D4140C" w:rsidRDefault="007A6CEB" w:rsidP="007A6CEB">
            <w:pPr>
              <w:jc w:val="center"/>
              <w:rPr>
                <w:rFonts w:cs="Arial"/>
                <w:color w:val="000000"/>
                <w:szCs w:val="22"/>
              </w:rPr>
            </w:pPr>
            <w:r>
              <w:rPr>
                <w:rFonts w:cs="Arial"/>
                <w:color w:val="000000"/>
                <w:szCs w:val="22"/>
              </w:rPr>
              <w:t>NY 80120 45130</w:t>
            </w:r>
          </w:p>
        </w:tc>
        <w:tc>
          <w:tcPr>
            <w:tcW w:w="1984" w:type="dxa"/>
          </w:tcPr>
          <w:p w14:paraId="2F670C90" w14:textId="77777777" w:rsidR="007A6CEB" w:rsidRPr="00D4140C" w:rsidRDefault="007A6CEB" w:rsidP="00A85B72">
            <w:pPr>
              <w:keepNext/>
              <w:jc w:val="center"/>
              <w:rPr>
                <w:rFonts w:cs="Arial"/>
                <w:color w:val="000000"/>
                <w:szCs w:val="22"/>
              </w:rPr>
            </w:pPr>
            <w:r>
              <w:rPr>
                <w:rFonts w:cs="Arial"/>
                <w:color w:val="000000"/>
                <w:szCs w:val="22"/>
              </w:rPr>
              <w:t>METSTR</w:t>
            </w:r>
          </w:p>
        </w:tc>
      </w:tr>
    </w:tbl>
    <w:p w14:paraId="534E0499" w14:textId="2838917C" w:rsidR="003B71B7" w:rsidRDefault="00A85B72" w:rsidP="00A85B72">
      <w:pPr>
        <w:pStyle w:val="Caption"/>
      </w:pPr>
      <w:r>
        <w:t xml:space="preserve">Table </w:t>
      </w:r>
      <w:r w:rsidR="00E616B5">
        <w:fldChar w:fldCharType="begin"/>
      </w:r>
      <w:r w:rsidR="00E616B5">
        <w:instrText xml:space="preserve"> SEQ Table \* ARABIC </w:instrText>
      </w:r>
      <w:r w:rsidR="00E616B5">
        <w:fldChar w:fldCharType="separate"/>
      </w:r>
      <w:r w:rsidR="00990481">
        <w:rPr>
          <w:noProof/>
        </w:rPr>
        <w:t>1</w:t>
      </w:r>
      <w:r w:rsidR="00E616B5">
        <w:rPr>
          <w:noProof/>
        </w:rPr>
        <w:fldChar w:fldCharType="end"/>
      </w:r>
      <w:r>
        <w:t xml:space="preserve"> - Sample point details</w:t>
      </w:r>
    </w:p>
    <w:p w14:paraId="7D33B3B2" w14:textId="77777777" w:rsidR="002C5185" w:rsidRDefault="002C5185" w:rsidP="002C5185"/>
    <w:p w14:paraId="4381B19E" w14:textId="77777777" w:rsidR="002C5185" w:rsidRPr="002C5185" w:rsidRDefault="002C5185" w:rsidP="002C5185"/>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5"/>
        <w:gridCol w:w="1887"/>
        <w:gridCol w:w="3807"/>
        <w:gridCol w:w="3807"/>
        <w:gridCol w:w="1588"/>
      </w:tblGrid>
      <w:tr w:rsidR="002C5185" w:rsidRPr="00DD4DA5" w14:paraId="36A47EB4" w14:textId="77777777" w:rsidTr="002C5185">
        <w:trPr>
          <w:trHeight w:val="386"/>
        </w:trPr>
        <w:tc>
          <w:tcPr>
            <w:tcW w:w="1535" w:type="dxa"/>
            <w:tcBorders>
              <w:bottom w:val="double" w:sz="4" w:space="0" w:color="auto"/>
            </w:tcBorders>
            <w:shd w:val="clear" w:color="auto" w:fill="F2DBDB" w:themeFill="accent2" w:themeFillTint="33"/>
            <w:vAlign w:val="center"/>
          </w:tcPr>
          <w:p w14:paraId="73133A5F" w14:textId="77777777" w:rsidR="002C5185" w:rsidRPr="00DD4DA5" w:rsidRDefault="002C5185" w:rsidP="00336782">
            <w:pPr>
              <w:jc w:val="center"/>
              <w:rPr>
                <w:rFonts w:cs="Arial"/>
                <w:b/>
                <w:szCs w:val="22"/>
              </w:rPr>
            </w:pPr>
            <w:r w:rsidRPr="00DD4DA5">
              <w:rPr>
                <w:rFonts w:cs="Arial"/>
                <w:b/>
                <w:szCs w:val="22"/>
              </w:rPr>
              <w:lastRenderedPageBreak/>
              <w:t>Analysis Suite</w:t>
            </w:r>
          </w:p>
        </w:tc>
        <w:tc>
          <w:tcPr>
            <w:tcW w:w="1887" w:type="dxa"/>
            <w:tcBorders>
              <w:bottom w:val="double" w:sz="4" w:space="0" w:color="auto"/>
            </w:tcBorders>
            <w:shd w:val="clear" w:color="auto" w:fill="F2DBDB" w:themeFill="accent2" w:themeFillTint="33"/>
            <w:vAlign w:val="center"/>
          </w:tcPr>
          <w:p w14:paraId="43B331B8" w14:textId="77777777" w:rsidR="002C5185" w:rsidRPr="00DD4DA5" w:rsidRDefault="002C5185" w:rsidP="00336782">
            <w:pPr>
              <w:jc w:val="center"/>
              <w:rPr>
                <w:rFonts w:cs="Arial"/>
                <w:b/>
                <w:szCs w:val="22"/>
              </w:rPr>
            </w:pPr>
            <w:r w:rsidRPr="00DD4DA5">
              <w:rPr>
                <w:rFonts w:cs="Arial"/>
                <w:b/>
                <w:szCs w:val="22"/>
              </w:rPr>
              <w:t>Field Determinants</w:t>
            </w:r>
          </w:p>
        </w:tc>
        <w:tc>
          <w:tcPr>
            <w:tcW w:w="3807" w:type="dxa"/>
            <w:tcBorders>
              <w:bottom w:val="double" w:sz="4" w:space="0" w:color="auto"/>
            </w:tcBorders>
            <w:shd w:val="clear" w:color="auto" w:fill="F2DBDB" w:themeFill="accent2" w:themeFillTint="33"/>
          </w:tcPr>
          <w:p w14:paraId="72B64BC6" w14:textId="77777777" w:rsidR="002C5185" w:rsidRPr="00DD4DA5" w:rsidRDefault="002C5185" w:rsidP="00336782">
            <w:pPr>
              <w:jc w:val="center"/>
              <w:rPr>
                <w:rFonts w:cs="Arial"/>
                <w:b/>
                <w:szCs w:val="22"/>
              </w:rPr>
            </w:pPr>
          </w:p>
        </w:tc>
        <w:tc>
          <w:tcPr>
            <w:tcW w:w="3807" w:type="dxa"/>
            <w:tcBorders>
              <w:bottom w:val="double" w:sz="4" w:space="0" w:color="auto"/>
            </w:tcBorders>
            <w:shd w:val="clear" w:color="auto" w:fill="F2DBDB" w:themeFill="accent2" w:themeFillTint="33"/>
            <w:vAlign w:val="center"/>
          </w:tcPr>
          <w:p w14:paraId="4C872633" w14:textId="00485A21" w:rsidR="002C5185" w:rsidRPr="00DD4DA5" w:rsidRDefault="002C5185" w:rsidP="00336782">
            <w:pPr>
              <w:jc w:val="center"/>
              <w:rPr>
                <w:rFonts w:cs="Arial"/>
                <w:b/>
                <w:szCs w:val="22"/>
              </w:rPr>
            </w:pPr>
            <w:r w:rsidRPr="00DD4DA5">
              <w:rPr>
                <w:rFonts w:cs="Arial"/>
                <w:b/>
                <w:szCs w:val="22"/>
              </w:rPr>
              <w:t>Laboratory Determinants</w:t>
            </w:r>
          </w:p>
        </w:tc>
        <w:tc>
          <w:tcPr>
            <w:tcW w:w="1588" w:type="dxa"/>
            <w:tcBorders>
              <w:bottom w:val="double" w:sz="4" w:space="0" w:color="auto"/>
            </w:tcBorders>
            <w:shd w:val="clear" w:color="auto" w:fill="F2DBDB" w:themeFill="accent2" w:themeFillTint="33"/>
            <w:vAlign w:val="center"/>
          </w:tcPr>
          <w:p w14:paraId="77D161DE" w14:textId="77777777" w:rsidR="002C5185" w:rsidRPr="00DD4DA5" w:rsidRDefault="002C5185" w:rsidP="00336782">
            <w:pPr>
              <w:jc w:val="center"/>
              <w:rPr>
                <w:rFonts w:cs="Arial"/>
                <w:b/>
                <w:szCs w:val="22"/>
              </w:rPr>
            </w:pPr>
            <w:r w:rsidRPr="00DD4DA5">
              <w:rPr>
                <w:rFonts w:cs="Arial"/>
                <w:b/>
                <w:szCs w:val="22"/>
              </w:rPr>
              <w:t>Metals (Dissolved and Total)</w:t>
            </w:r>
          </w:p>
        </w:tc>
      </w:tr>
      <w:tr w:rsidR="002C5185" w:rsidRPr="00DD4DA5" w14:paraId="655E64AC" w14:textId="77777777" w:rsidTr="002C5185">
        <w:trPr>
          <w:trHeight w:val="1460"/>
        </w:trPr>
        <w:tc>
          <w:tcPr>
            <w:tcW w:w="1535" w:type="dxa"/>
            <w:tcBorders>
              <w:top w:val="double" w:sz="4" w:space="0" w:color="auto"/>
            </w:tcBorders>
            <w:vAlign w:val="center"/>
          </w:tcPr>
          <w:p w14:paraId="5F9D9F5F" w14:textId="77777777" w:rsidR="002C5185" w:rsidRDefault="002C5185" w:rsidP="00336782">
            <w:pPr>
              <w:jc w:val="center"/>
            </w:pPr>
            <w:r>
              <w:t xml:space="preserve">METSTR </w:t>
            </w:r>
          </w:p>
          <w:p w14:paraId="3CF7F380" w14:textId="77777777" w:rsidR="002C5185" w:rsidRDefault="002C5185" w:rsidP="00336782">
            <w:pPr>
              <w:jc w:val="center"/>
            </w:pPr>
            <w:r>
              <w:t>for surface waters</w:t>
            </w:r>
          </w:p>
        </w:tc>
        <w:tc>
          <w:tcPr>
            <w:tcW w:w="1887" w:type="dxa"/>
            <w:tcBorders>
              <w:top w:val="double" w:sz="4" w:space="0" w:color="auto"/>
            </w:tcBorders>
            <w:vAlign w:val="center"/>
          </w:tcPr>
          <w:p w14:paraId="0F45563C" w14:textId="77777777" w:rsidR="002C5185" w:rsidRDefault="002C5185" w:rsidP="00336782">
            <w:pPr>
              <w:jc w:val="center"/>
            </w:pPr>
            <w:r>
              <w:t>pH, EC, DO, Temperature</w:t>
            </w:r>
          </w:p>
        </w:tc>
        <w:tc>
          <w:tcPr>
            <w:tcW w:w="3807" w:type="dxa"/>
            <w:tcBorders>
              <w:top w:val="double" w:sz="4" w:space="0" w:color="auto"/>
            </w:tcBorders>
          </w:tcPr>
          <w:p w14:paraId="67729BC0" w14:textId="77777777" w:rsidR="002C5185" w:rsidRDefault="002C5185" w:rsidP="00336782">
            <w:pPr>
              <w:jc w:val="center"/>
            </w:pPr>
          </w:p>
        </w:tc>
        <w:tc>
          <w:tcPr>
            <w:tcW w:w="3807" w:type="dxa"/>
            <w:tcBorders>
              <w:top w:val="double" w:sz="4" w:space="0" w:color="auto"/>
            </w:tcBorders>
            <w:vAlign w:val="center"/>
          </w:tcPr>
          <w:p w14:paraId="720A0260" w14:textId="5685D614" w:rsidR="002C5185" w:rsidRDefault="002C5185" w:rsidP="00336782">
            <w:pPr>
              <w:jc w:val="center"/>
            </w:pPr>
            <w:r>
              <w:t>Dissolved Organic Carbon</w:t>
            </w:r>
          </w:p>
          <w:p w14:paraId="050A2121" w14:textId="77777777" w:rsidR="002C5185" w:rsidRDefault="002C5185" w:rsidP="00336782">
            <w:pPr>
              <w:jc w:val="center"/>
            </w:pPr>
            <w:r>
              <w:t>Suspended Solids, Hardness as CaCO</w:t>
            </w:r>
            <w:r w:rsidRPr="00C234AA">
              <w:rPr>
                <w:vertAlign w:val="subscript"/>
              </w:rPr>
              <w:t>3</w:t>
            </w:r>
            <w:r>
              <w:t xml:space="preserve">, </w:t>
            </w:r>
          </w:p>
          <w:p w14:paraId="70A59307" w14:textId="77777777" w:rsidR="002C5185" w:rsidRDefault="002C5185" w:rsidP="00336782">
            <w:pPr>
              <w:jc w:val="center"/>
            </w:pPr>
            <w:r>
              <w:t xml:space="preserve">pH, Alkalinity @ pH4.5, </w:t>
            </w:r>
          </w:p>
          <w:p w14:paraId="1B065B8C" w14:textId="77777777" w:rsidR="002C5185" w:rsidRDefault="002C5185" w:rsidP="00336782">
            <w:pPr>
              <w:jc w:val="center"/>
            </w:pPr>
            <w:r>
              <w:t>Cl, NO</w:t>
            </w:r>
            <w:r w:rsidRPr="00C234AA">
              <w:rPr>
                <w:vertAlign w:val="subscript"/>
              </w:rPr>
              <w:t>2</w:t>
            </w:r>
            <w:r>
              <w:t>, NH</w:t>
            </w:r>
            <w:r w:rsidRPr="00C234AA">
              <w:rPr>
                <w:vertAlign w:val="subscript"/>
              </w:rPr>
              <w:t>3</w:t>
            </w:r>
            <w:r>
              <w:t>, SiO</w:t>
            </w:r>
            <w:r w:rsidRPr="00C234AA">
              <w:rPr>
                <w:vertAlign w:val="subscript"/>
              </w:rPr>
              <w:t>2</w:t>
            </w:r>
            <w:r>
              <w:t>, SO</w:t>
            </w:r>
            <w:r w:rsidRPr="00C234AA">
              <w:rPr>
                <w:vertAlign w:val="subscript"/>
              </w:rPr>
              <w:t>4</w:t>
            </w:r>
          </w:p>
        </w:tc>
        <w:tc>
          <w:tcPr>
            <w:tcW w:w="1588" w:type="dxa"/>
            <w:vMerge w:val="restart"/>
            <w:tcBorders>
              <w:top w:val="double" w:sz="4" w:space="0" w:color="auto"/>
            </w:tcBorders>
            <w:vAlign w:val="center"/>
          </w:tcPr>
          <w:p w14:paraId="5DF2C1D4" w14:textId="77777777" w:rsidR="002C5185" w:rsidRPr="00DD4DA5" w:rsidRDefault="002C5185" w:rsidP="00336782">
            <w:pPr>
              <w:jc w:val="center"/>
            </w:pPr>
            <w:r w:rsidRPr="00DD4DA5">
              <w:t xml:space="preserve">Al, B, </w:t>
            </w:r>
          </w:p>
          <w:p w14:paraId="4502D628" w14:textId="77777777" w:rsidR="002C5185" w:rsidRPr="00DD4DA5" w:rsidRDefault="002C5185" w:rsidP="00336782">
            <w:pPr>
              <w:jc w:val="center"/>
            </w:pPr>
            <w:r w:rsidRPr="00DD4DA5">
              <w:t xml:space="preserve">Ba, Ca, </w:t>
            </w:r>
          </w:p>
          <w:p w14:paraId="18DE84D7" w14:textId="77777777" w:rsidR="002C5185" w:rsidRPr="00DD4DA5" w:rsidRDefault="002C5185" w:rsidP="00336782">
            <w:pPr>
              <w:jc w:val="center"/>
            </w:pPr>
            <w:r w:rsidRPr="00DD4DA5">
              <w:t xml:space="preserve">Cd, Cr, </w:t>
            </w:r>
          </w:p>
          <w:p w14:paraId="2B9AEA73" w14:textId="77777777" w:rsidR="002C5185" w:rsidRPr="00DD4DA5" w:rsidRDefault="002C5185" w:rsidP="00336782">
            <w:pPr>
              <w:jc w:val="center"/>
            </w:pPr>
            <w:r w:rsidRPr="00DD4DA5">
              <w:t xml:space="preserve">Cu, Fe, </w:t>
            </w:r>
          </w:p>
          <w:p w14:paraId="7120F60C" w14:textId="77777777" w:rsidR="002C5185" w:rsidRPr="00DD4DA5" w:rsidRDefault="002C5185" w:rsidP="00336782">
            <w:pPr>
              <w:jc w:val="center"/>
            </w:pPr>
            <w:r w:rsidRPr="00DD4DA5">
              <w:t xml:space="preserve">K, Li, </w:t>
            </w:r>
          </w:p>
          <w:p w14:paraId="188C1403" w14:textId="77777777" w:rsidR="002C5185" w:rsidRPr="00DD4DA5" w:rsidRDefault="002C5185" w:rsidP="00336782">
            <w:pPr>
              <w:jc w:val="center"/>
            </w:pPr>
            <w:r w:rsidRPr="00DD4DA5">
              <w:t xml:space="preserve">Mg, Mn, </w:t>
            </w:r>
          </w:p>
          <w:p w14:paraId="50E86F10" w14:textId="77777777" w:rsidR="002C5185" w:rsidRPr="00DD4DA5" w:rsidRDefault="002C5185" w:rsidP="00336782">
            <w:pPr>
              <w:jc w:val="center"/>
            </w:pPr>
            <w:r w:rsidRPr="00DD4DA5">
              <w:t xml:space="preserve">Na, Ni, </w:t>
            </w:r>
          </w:p>
          <w:p w14:paraId="7FF98696" w14:textId="77777777" w:rsidR="002C5185" w:rsidRPr="00DD4DA5" w:rsidRDefault="002C5185" w:rsidP="00336782">
            <w:pPr>
              <w:jc w:val="center"/>
            </w:pPr>
            <w:r w:rsidRPr="00DD4DA5">
              <w:t xml:space="preserve">Pb, Sr, </w:t>
            </w:r>
          </w:p>
          <w:p w14:paraId="22AD172A" w14:textId="77777777" w:rsidR="002C5185" w:rsidRPr="00DD4DA5" w:rsidRDefault="002C5185" w:rsidP="00336782">
            <w:pPr>
              <w:jc w:val="center"/>
            </w:pPr>
            <w:r w:rsidRPr="00DD4DA5">
              <w:t>Zn</w:t>
            </w:r>
          </w:p>
        </w:tc>
      </w:tr>
      <w:tr w:rsidR="002C5185" w:rsidRPr="00DD4DA5" w14:paraId="24FB230A" w14:textId="77777777" w:rsidTr="002C5185">
        <w:trPr>
          <w:trHeight w:val="1042"/>
        </w:trPr>
        <w:tc>
          <w:tcPr>
            <w:tcW w:w="1535" w:type="dxa"/>
            <w:vAlign w:val="center"/>
          </w:tcPr>
          <w:p w14:paraId="71490016" w14:textId="77777777" w:rsidR="002C5185" w:rsidRDefault="002C5185" w:rsidP="00336782">
            <w:pPr>
              <w:jc w:val="center"/>
            </w:pPr>
            <w:r>
              <w:t xml:space="preserve">METPR </w:t>
            </w:r>
          </w:p>
          <w:p w14:paraId="18953186" w14:textId="77777777" w:rsidR="002C5185" w:rsidRDefault="002C5185" w:rsidP="00336782">
            <w:pPr>
              <w:jc w:val="center"/>
            </w:pPr>
            <w:r>
              <w:t>for adits</w:t>
            </w:r>
          </w:p>
        </w:tc>
        <w:tc>
          <w:tcPr>
            <w:tcW w:w="1887" w:type="dxa"/>
            <w:vAlign w:val="center"/>
          </w:tcPr>
          <w:p w14:paraId="2E9999F4" w14:textId="77777777" w:rsidR="002C5185" w:rsidRDefault="002C5185" w:rsidP="00336782">
            <w:pPr>
              <w:jc w:val="center"/>
            </w:pPr>
            <w:r>
              <w:t>pH, EC, DO, Temperature</w:t>
            </w:r>
          </w:p>
        </w:tc>
        <w:tc>
          <w:tcPr>
            <w:tcW w:w="3807" w:type="dxa"/>
          </w:tcPr>
          <w:p w14:paraId="218EC54C" w14:textId="77777777" w:rsidR="002C5185" w:rsidRDefault="002C5185" w:rsidP="00336782">
            <w:pPr>
              <w:jc w:val="center"/>
            </w:pPr>
          </w:p>
        </w:tc>
        <w:tc>
          <w:tcPr>
            <w:tcW w:w="3807" w:type="dxa"/>
            <w:vAlign w:val="center"/>
          </w:tcPr>
          <w:p w14:paraId="55B3E8ED" w14:textId="32CDF077" w:rsidR="002C5185" w:rsidRDefault="002C5185" w:rsidP="00336782">
            <w:pPr>
              <w:jc w:val="center"/>
            </w:pPr>
            <w:r>
              <w:t xml:space="preserve">EC, DO%, </w:t>
            </w:r>
          </w:p>
          <w:p w14:paraId="71FBAA48" w14:textId="77777777" w:rsidR="002C5185" w:rsidRDefault="002C5185" w:rsidP="00336782">
            <w:pPr>
              <w:jc w:val="center"/>
            </w:pPr>
            <w:r>
              <w:t>Hardness as CaCO</w:t>
            </w:r>
            <w:r w:rsidRPr="00C234AA">
              <w:rPr>
                <w:vertAlign w:val="subscript"/>
              </w:rPr>
              <w:t>3</w:t>
            </w:r>
            <w:r>
              <w:t xml:space="preserve">, </w:t>
            </w:r>
          </w:p>
          <w:p w14:paraId="5EC0725B" w14:textId="77777777" w:rsidR="002C5185" w:rsidRDefault="002C5185" w:rsidP="00336782">
            <w:pPr>
              <w:jc w:val="center"/>
            </w:pPr>
            <w:r>
              <w:t xml:space="preserve">pH, Alkalinity @ pH4.5, </w:t>
            </w:r>
          </w:p>
          <w:p w14:paraId="17F003F9" w14:textId="77777777" w:rsidR="002C5185" w:rsidRPr="0024154D" w:rsidRDefault="002C5185" w:rsidP="00336782">
            <w:pPr>
              <w:jc w:val="center"/>
            </w:pPr>
            <w:r>
              <w:t>Cl, NO</w:t>
            </w:r>
            <w:r w:rsidRPr="00C234AA">
              <w:rPr>
                <w:vertAlign w:val="subscript"/>
              </w:rPr>
              <w:t>2</w:t>
            </w:r>
            <w:r>
              <w:t>, NH</w:t>
            </w:r>
            <w:r w:rsidRPr="00C234AA">
              <w:rPr>
                <w:vertAlign w:val="subscript"/>
              </w:rPr>
              <w:t>3</w:t>
            </w:r>
            <w:r>
              <w:t>, SiO</w:t>
            </w:r>
            <w:r w:rsidRPr="00C234AA">
              <w:rPr>
                <w:vertAlign w:val="subscript"/>
              </w:rPr>
              <w:t>2</w:t>
            </w:r>
            <w:r>
              <w:t>, SO</w:t>
            </w:r>
            <w:r w:rsidRPr="00C234AA">
              <w:rPr>
                <w:vertAlign w:val="subscript"/>
              </w:rPr>
              <w:t>4</w:t>
            </w:r>
          </w:p>
        </w:tc>
        <w:tc>
          <w:tcPr>
            <w:tcW w:w="1588" w:type="dxa"/>
            <w:vMerge/>
          </w:tcPr>
          <w:p w14:paraId="6DD5250C" w14:textId="77777777" w:rsidR="002C5185" w:rsidRPr="00DD4DA5" w:rsidRDefault="002C5185" w:rsidP="00B87AA0">
            <w:pPr>
              <w:keepNext/>
            </w:pPr>
          </w:p>
        </w:tc>
      </w:tr>
    </w:tbl>
    <w:p w14:paraId="3EE81AC4" w14:textId="7882E75C" w:rsidR="00641983" w:rsidRDefault="00B87AA0" w:rsidP="00B87AA0">
      <w:pPr>
        <w:pStyle w:val="Caption"/>
        <w:rPr>
          <w:b w:val="0"/>
          <w:sz w:val="28"/>
          <w:szCs w:val="28"/>
        </w:rPr>
      </w:pPr>
      <w:r>
        <w:t xml:space="preserve">Table </w:t>
      </w:r>
      <w:r w:rsidR="00E616B5">
        <w:fldChar w:fldCharType="begin"/>
      </w:r>
      <w:r w:rsidR="00E616B5">
        <w:instrText xml:space="preserve"> SEQ Table \* ARABIC </w:instrText>
      </w:r>
      <w:r w:rsidR="00E616B5">
        <w:fldChar w:fldCharType="separate"/>
      </w:r>
      <w:r w:rsidR="00990481">
        <w:rPr>
          <w:noProof/>
        </w:rPr>
        <w:t>2</w:t>
      </w:r>
      <w:r w:rsidR="00E616B5">
        <w:rPr>
          <w:noProof/>
        </w:rPr>
        <w:fldChar w:fldCharType="end"/>
      </w:r>
      <w:r>
        <w:t xml:space="preserve"> - Analysis suites</w:t>
      </w:r>
    </w:p>
    <w:p w14:paraId="6957B6F4" w14:textId="57868E87" w:rsidR="00641983" w:rsidRDefault="00641983" w:rsidP="00261ED1">
      <w:pPr>
        <w:rPr>
          <w:szCs w:val="28"/>
        </w:rPr>
      </w:pPr>
      <w:r>
        <w:rPr>
          <w:szCs w:val="28"/>
        </w:rPr>
        <w:t>Samples were gathered at a range of flows</w:t>
      </w:r>
      <w:r w:rsidR="00987570">
        <w:rPr>
          <w:szCs w:val="28"/>
        </w:rPr>
        <w:t xml:space="preserve">, with Q values taken from </w:t>
      </w:r>
      <w:r w:rsidR="00695ACE">
        <w:rPr>
          <w:szCs w:val="28"/>
        </w:rPr>
        <w:t>the gauging station at Hindley W</w:t>
      </w:r>
      <w:r w:rsidR="00987570">
        <w:rPr>
          <w:szCs w:val="28"/>
        </w:rPr>
        <w:t>rae ford</w:t>
      </w:r>
      <w:r w:rsidR="00990481">
        <w:rPr>
          <w:szCs w:val="28"/>
        </w:rPr>
        <w:t>, shown below in figure 13</w:t>
      </w:r>
      <w:r>
        <w:rPr>
          <w:szCs w:val="28"/>
        </w:rPr>
        <w:t xml:space="preserve"> starting from upstream to downstream</w:t>
      </w:r>
      <w:r w:rsidR="00B10895">
        <w:rPr>
          <w:szCs w:val="28"/>
        </w:rPr>
        <w:t>, the distances from WA7 to WA6 and WA2 to WA1 are sufficiently far apart that there is not likely to be any impact on the downstream sample point from any disturbances at the upstream point however, the remainder of the samples do have the potential to have been impacted by disturbances in the upstream sample points, however this is not thought to be significant.</w:t>
      </w:r>
    </w:p>
    <w:p w14:paraId="38D4FAE6" w14:textId="77777777" w:rsidR="00B10895" w:rsidRDefault="00B10895" w:rsidP="00261ED1">
      <w:pPr>
        <w:rPr>
          <w:szCs w:val="28"/>
        </w:rPr>
      </w:pPr>
    </w:p>
    <w:p w14:paraId="51841121" w14:textId="5016935D" w:rsidR="00B10895" w:rsidRDefault="00B10895" w:rsidP="00261ED1">
      <w:pPr>
        <w:rPr>
          <w:szCs w:val="28"/>
        </w:rPr>
      </w:pPr>
      <w:r>
        <w:rPr>
          <w:szCs w:val="28"/>
        </w:rPr>
        <w:t xml:space="preserve">As highlighted in the conceptual model (figure </w:t>
      </w:r>
      <w:r w:rsidR="00990481">
        <w:rPr>
          <w:szCs w:val="28"/>
        </w:rPr>
        <w:t>14</w:t>
      </w:r>
      <w:r>
        <w:rPr>
          <w:szCs w:val="28"/>
        </w:rPr>
        <w:t>) there is potential for input of metals downstream of the mine site, particularly from Wellhope burn, however it is thought that the majority of inputs occur in the upper part of the catchment, above the and through the mine site.</w:t>
      </w:r>
    </w:p>
    <w:p w14:paraId="416343CD" w14:textId="77777777" w:rsidR="00D80353" w:rsidRDefault="00D80353" w:rsidP="00261ED1">
      <w:pPr>
        <w:rPr>
          <w:szCs w:val="28"/>
        </w:rPr>
      </w:pPr>
    </w:p>
    <w:p w14:paraId="182CF5D4" w14:textId="0E947670" w:rsidR="00D80353" w:rsidRPr="00641983" w:rsidRDefault="00D80353" w:rsidP="00261ED1">
      <w:pPr>
        <w:rPr>
          <w:szCs w:val="28"/>
        </w:rPr>
      </w:pPr>
      <w:r>
        <w:rPr>
          <w:szCs w:val="28"/>
        </w:rPr>
        <w:t>The diffuse spoil inputs shown on the conceptual model are not representative of the scale of the input, they are to indicate presence of diffuse sources only. Likewise the point sources are not representative of scale.</w:t>
      </w:r>
    </w:p>
    <w:p w14:paraId="7B87D695" w14:textId="35BA5E35" w:rsidR="00206DFF" w:rsidRDefault="00641983" w:rsidP="00261ED1">
      <w:pPr>
        <w:rPr>
          <w:b/>
          <w:sz w:val="28"/>
          <w:szCs w:val="28"/>
        </w:rPr>
      </w:pPr>
      <w:r>
        <w:rPr>
          <w:noProof/>
        </w:rPr>
        <w:drawing>
          <wp:anchor distT="0" distB="0" distL="114300" distR="114300" simplePos="0" relativeHeight="251641344" behindDoc="0" locked="0" layoutInCell="1" allowOverlap="1" wp14:anchorId="71F5D5EA" wp14:editId="0E22B6FD">
            <wp:simplePos x="0" y="0"/>
            <wp:positionH relativeFrom="column">
              <wp:posOffset>1626782</wp:posOffset>
            </wp:positionH>
            <wp:positionV relativeFrom="paragraph">
              <wp:posOffset>-19980</wp:posOffset>
            </wp:positionV>
            <wp:extent cx="4688840" cy="254444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688840" cy="2544445"/>
                    </a:xfrm>
                    <a:prstGeom prst="rect">
                      <a:avLst/>
                    </a:prstGeom>
                  </pic:spPr>
                </pic:pic>
              </a:graphicData>
            </a:graphic>
          </wp:anchor>
        </w:drawing>
      </w:r>
      <w:r w:rsidR="00206DFF" w:rsidRPr="00206DFF">
        <w:rPr>
          <w:noProof/>
        </w:rPr>
        <w:drawing>
          <wp:anchor distT="0" distB="0" distL="114300" distR="114300" simplePos="0" relativeHeight="251670016" behindDoc="0" locked="0" layoutInCell="1" allowOverlap="1" wp14:anchorId="2A6C8056" wp14:editId="543DAD23">
            <wp:simplePos x="0" y="0"/>
            <wp:positionH relativeFrom="column">
              <wp:posOffset>0</wp:posOffset>
            </wp:positionH>
            <wp:positionV relativeFrom="paragraph">
              <wp:posOffset>1270</wp:posOffset>
            </wp:positionV>
            <wp:extent cx="1222375" cy="4276090"/>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22375" cy="4276090"/>
                    </a:xfrm>
                    <a:prstGeom prst="rect">
                      <a:avLst/>
                    </a:prstGeom>
                    <a:noFill/>
                    <a:ln>
                      <a:noFill/>
                    </a:ln>
                  </pic:spPr>
                </pic:pic>
              </a:graphicData>
            </a:graphic>
          </wp:anchor>
        </w:drawing>
      </w:r>
    </w:p>
    <w:p w14:paraId="07E1D195" w14:textId="55504F9F" w:rsidR="00206DFF" w:rsidRPr="00206DFF" w:rsidRDefault="00206DFF" w:rsidP="00261ED1">
      <w:pPr>
        <w:rPr>
          <w:szCs w:val="28"/>
        </w:rPr>
      </w:pPr>
    </w:p>
    <w:p w14:paraId="0D7BCC97" w14:textId="59F0664F" w:rsidR="00494A8D" w:rsidRDefault="00494A8D" w:rsidP="00261ED1">
      <w:pPr>
        <w:rPr>
          <w:b/>
          <w:sz w:val="28"/>
          <w:szCs w:val="28"/>
        </w:rPr>
      </w:pPr>
    </w:p>
    <w:p w14:paraId="616476EC" w14:textId="77777777" w:rsidR="00494A8D" w:rsidRDefault="00494A8D" w:rsidP="00261ED1">
      <w:pPr>
        <w:rPr>
          <w:b/>
          <w:sz w:val="28"/>
          <w:szCs w:val="28"/>
        </w:rPr>
      </w:pPr>
    </w:p>
    <w:p w14:paraId="6633332B" w14:textId="77777777" w:rsidR="00494A8D" w:rsidRDefault="00494A8D" w:rsidP="00261ED1">
      <w:pPr>
        <w:rPr>
          <w:b/>
          <w:sz w:val="28"/>
          <w:szCs w:val="28"/>
        </w:rPr>
      </w:pPr>
    </w:p>
    <w:p w14:paraId="553EE6FD" w14:textId="77777777" w:rsidR="00494A8D" w:rsidRDefault="00494A8D" w:rsidP="00261ED1">
      <w:pPr>
        <w:rPr>
          <w:b/>
          <w:sz w:val="28"/>
          <w:szCs w:val="28"/>
        </w:rPr>
      </w:pPr>
    </w:p>
    <w:p w14:paraId="6930671A" w14:textId="77777777" w:rsidR="00494A8D" w:rsidRDefault="00494A8D" w:rsidP="00261ED1">
      <w:pPr>
        <w:rPr>
          <w:b/>
          <w:sz w:val="28"/>
          <w:szCs w:val="28"/>
        </w:rPr>
      </w:pPr>
    </w:p>
    <w:p w14:paraId="00F03F91" w14:textId="77777777" w:rsidR="00494A8D" w:rsidRDefault="00494A8D" w:rsidP="00261ED1">
      <w:pPr>
        <w:rPr>
          <w:b/>
          <w:sz w:val="28"/>
          <w:szCs w:val="28"/>
        </w:rPr>
      </w:pPr>
    </w:p>
    <w:p w14:paraId="1BC35F77" w14:textId="77777777" w:rsidR="00494A8D" w:rsidRDefault="00494A8D" w:rsidP="00261ED1">
      <w:pPr>
        <w:rPr>
          <w:b/>
          <w:sz w:val="28"/>
          <w:szCs w:val="28"/>
        </w:rPr>
      </w:pPr>
    </w:p>
    <w:p w14:paraId="652A2928" w14:textId="14E1671E" w:rsidR="00494A8D" w:rsidRDefault="00E616B5" w:rsidP="00261ED1">
      <w:pPr>
        <w:rPr>
          <w:b/>
          <w:sz w:val="28"/>
          <w:szCs w:val="28"/>
        </w:rPr>
      </w:pPr>
      <w:r>
        <w:rPr>
          <w:noProof/>
        </w:rPr>
        <mc:AlternateContent>
          <mc:Choice Requires="wps">
            <w:drawing>
              <wp:anchor distT="0" distB="0" distL="114300" distR="114300" simplePos="0" relativeHeight="251685888" behindDoc="0" locked="0" layoutInCell="1" allowOverlap="1" wp14:anchorId="67FB6292" wp14:editId="525B553A">
                <wp:simplePos x="0" y="0"/>
                <wp:positionH relativeFrom="column">
                  <wp:posOffset>0</wp:posOffset>
                </wp:positionH>
                <wp:positionV relativeFrom="paragraph">
                  <wp:posOffset>13335</wp:posOffset>
                </wp:positionV>
                <wp:extent cx="2362835" cy="313055"/>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313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0177B9" w14:textId="62FD47E9" w:rsidR="00695ACE" w:rsidRPr="00C678C0" w:rsidRDefault="00695ACE" w:rsidP="00B87AA0">
                            <w:pPr>
                              <w:pStyle w:val="Caption"/>
                              <w:rPr>
                                <w:noProof/>
                              </w:rPr>
                            </w:pPr>
                            <w:r>
                              <w:t xml:space="preserve">Figure </w:t>
                            </w:r>
                            <w:r w:rsidR="00E616B5">
                              <w:fldChar w:fldCharType="begin"/>
                            </w:r>
                            <w:r w:rsidR="00E616B5">
                              <w:instrText xml:space="preserve"> SEQ Figure \* ARABIC </w:instrText>
                            </w:r>
                            <w:r w:rsidR="00E616B5">
                              <w:fldChar w:fldCharType="separate"/>
                            </w:r>
                            <w:r>
                              <w:rPr>
                                <w:noProof/>
                              </w:rPr>
                              <w:t>13</w:t>
                            </w:r>
                            <w:r w:rsidR="00E616B5">
                              <w:rPr>
                                <w:noProof/>
                              </w:rPr>
                              <w:fldChar w:fldCharType="end"/>
                            </w:r>
                            <w:r>
                              <w:t xml:space="preserve"> - Q values</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7FB6292" id="_x0000_t202" coordsize="21600,21600" o:spt="202" path="m,l,21600r21600,l21600,xe">
                <v:stroke joinstyle="miter"/>
                <v:path gradientshapeok="t" o:connecttype="rect"/>
              </v:shapetype>
              <v:shape id="Text Box 2" o:spid="_x0000_s1026" type="#_x0000_t202" style="position:absolute;left:0;text-align:left;margin-left:0;margin-top:1.05pt;width:186.05pt;height:24.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" stroked="f">
                <v:textbox style="mso-fit-shape-to-text:t" inset="0,0,0,0">
                  <w:txbxContent>
                    <w:p w14:paraId="320177B9" w14:textId="62FD47E9" w:rsidR="00695ACE" w:rsidRPr="00C678C0" w:rsidRDefault="00695ACE" w:rsidP="00B87AA0">
                      <w:pPr>
                        <w:pStyle w:val="Caption"/>
                        <w:rPr>
                          <w:noProof/>
                        </w:rPr>
                      </w:pPr>
                      <w:r>
                        <w:t xml:space="preserve">Figure </w:t>
                      </w:r>
                      <w:r w:rsidR="00E616B5">
                        <w:fldChar w:fldCharType="begin"/>
                      </w:r>
                      <w:r w:rsidR="00E616B5">
                        <w:instrText xml:space="preserve"> SEQ Figure \* ARABIC </w:instrText>
                      </w:r>
                      <w:r w:rsidR="00E616B5">
                        <w:fldChar w:fldCharType="separate"/>
                      </w:r>
                      <w:r>
                        <w:rPr>
                          <w:noProof/>
                        </w:rPr>
                        <w:t>13</w:t>
                      </w:r>
                      <w:r w:rsidR="00E616B5">
                        <w:rPr>
                          <w:noProof/>
                        </w:rPr>
                        <w:fldChar w:fldCharType="end"/>
                      </w:r>
                      <w:r>
                        <w:t xml:space="preserve"> - Q values</w:t>
                      </w:r>
                    </w:p>
                  </w:txbxContent>
                </v:textbox>
                <w10:wrap type="square"/>
              </v:shape>
            </w:pict>
          </mc:Fallback>
        </mc:AlternateContent>
      </w:r>
    </w:p>
    <w:p w14:paraId="1D79CCBC" w14:textId="77777777" w:rsidR="00494A8D" w:rsidRDefault="00494A8D" w:rsidP="00261ED1">
      <w:pPr>
        <w:rPr>
          <w:b/>
          <w:sz w:val="28"/>
          <w:szCs w:val="28"/>
        </w:rPr>
      </w:pPr>
    </w:p>
    <w:p w14:paraId="1C9FA584" w14:textId="77777777" w:rsidR="003B71B7" w:rsidRDefault="003B71B7" w:rsidP="00261ED1">
      <w:pPr>
        <w:rPr>
          <w:b/>
          <w:sz w:val="28"/>
          <w:szCs w:val="28"/>
        </w:rPr>
      </w:pPr>
      <w:r>
        <w:rPr>
          <w:b/>
          <w:sz w:val="28"/>
          <w:szCs w:val="28"/>
        </w:rPr>
        <w:lastRenderedPageBreak/>
        <w:t>Conceptual model</w:t>
      </w:r>
    </w:p>
    <w:p w14:paraId="69018424" w14:textId="77777777" w:rsidR="003877C6" w:rsidRDefault="003877C6" w:rsidP="00261ED1">
      <w:pPr>
        <w:rPr>
          <w:b/>
          <w:noProof/>
          <w:sz w:val="28"/>
          <w:szCs w:val="28"/>
        </w:rPr>
      </w:pPr>
    </w:p>
    <w:p w14:paraId="43136765" w14:textId="77777777" w:rsidR="00B87AA0" w:rsidRDefault="003877C6" w:rsidP="00B87AA0">
      <w:pPr>
        <w:keepNext/>
      </w:pPr>
      <w:r>
        <w:rPr>
          <w:b/>
          <w:noProof/>
          <w:sz w:val="28"/>
          <w:szCs w:val="28"/>
        </w:rPr>
        <w:drawing>
          <wp:inline distT="0" distB="0" distL="0" distR="0" wp14:anchorId="11C9D96C" wp14:editId="5D27FA78">
            <wp:extent cx="6746240" cy="4409446"/>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752943" cy="4413827"/>
                    </a:xfrm>
                    <a:prstGeom prst="rect">
                      <a:avLst/>
                    </a:prstGeom>
                    <a:noFill/>
                  </pic:spPr>
                </pic:pic>
              </a:graphicData>
            </a:graphic>
          </wp:inline>
        </w:drawing>
      </w:r>
    </w:p>
    <w:p w14:paraId="339D7186" w14:textId="62A8FA9F" w:rsidR="002A2F72" w:rsidRDefault="00B87AA0" w:rsidP="00B87AA0">
      <w:pPr>
        <w:pStyle w:val="Caption"/>
        <w:jc w:val="left"/>
        <w:rPr>
          <w:b w:val="0"/>
          <w:sz w:val="28"/>
          <w:szCs w:val="28"/>
        </w:rPr>
        <w:sectPr w:rsidR="002A2F72" w:rsidSect="00F95308">
          <w:headerReference w:type="default" r:id="rId31"/>
          <w:type w:val="continuous"/>
          <w:pgSz w:w="11906" w:h="16838" w:code="9"/>
          <w:pgMar w:top="720" w:right="720" w:bottom="720" w:left="720" w:header="567" w:footer="720" w:gutter="0"/>
          <w:cols w:space="720"/>
          <w:docGrid w:linePitch="299"/>
        </w:sectPr>
      </w:pPr>
      <w:r>
        <w:t xml:space="preserve">Figure </w:t>
      </w:r>
      <w:r w:rsidR="00E616B5">
        <w:fldChar w:fldCharType="begin"/>
      </w:r>
      <w:r w:rsidR="00E616B5">
        <w:instrText xml:space="preserve"> SEQ Figure \* ARABIC </w:instrText>
      </w:r>
      <w:r w:rsidR="00E616B5">
        <w:fldChar w:fldCharType="separate"/>
      </w:r>
      <w:r>
        <w:rPr>
          <w:noProof/>
        </w:rPr>
        <w:t>14</w:t>
      </w:r>
      <w:r w:rsidR="00E616B5">
        <w:rPr>
          <w:noProof/>
        </w:rPr>
        <w:fldChar w:fldCharType="end"/>
      </w:r>
      <w:r>
        <w:t xml:space="preserve"> - </w:t>
      </w:r>
      <w:r w:rsidR="00695ACE">
        <w:t>Conceptual</w:t>
      </w:r>
      <w:r>
        <w:t xml:space="preserve"> model of the West Allen</w:t>
      </w:r>
    </w:p>
    <w:p w14:paraId="3A1900D7" w14:textId="0B6437C5" w:rsidR="003B71B7" w:rsidRDefault="003B71B7" w:rsidP="00261ED1">
      <w:pPr>
        <w:rPr>
          <w:b/>
          <w:sz w:val="28"/>
          <w:szCs w:val="28"/>
        </w:rPr>
      </w:pPr>
      <w:r>
        <w:rPr>
          <w:b/>
          <w:sz w:val="28"/>
          <w:szCs w:val="28"/>
        </w:rPr>
        <w:lastRenderedPageBreak/>
        <w:t xml:space="preserve">Flow </w:t>
      </w:r>
    </w:p>
    <w:tbl>
      <w:tblPr>
        <w:tblW w:w="13660" w:type="dxa"/>
        <w:tblInd w:w="108" w:type="dxa"/>
        <w:tblLook w:val="04A0" w:firstRow="1" w:lastRow="0" w:firstColumn="1" w:lastColumn="0" w:noHBand="0" w:noVBand="1"/>
      </w:tblPr>
      <w:tblGrid>
        <w:gridCol w:w="1357"/>
        <w:gridCol w:w="1136"/>
        <w:gridCol w:w="1100"/>
        <w:gridCol w:w="1102"/>
        <w:gridCol w:w="1386"/>
        <w:gridCol w:w="1473"/>
        <w:gridCol w:w="1102"/>
        <w:gridCol w:w="1416"/>
        <w:gridCol w:w="1036"/>
        <w:gridCol w:w="1136"/>
        <w:gridCol w:w="1416"/>
      </w:tblGrid>
      <w:tr w:rsidR="002C5185" w:rsidRPr="002C5185" w14:paraId="5C8D1D58" w14:textId="77777777" w:rsidTr="002C5185">
        <w:trPr>
          <w:trHeight w:val="255"/>
        </w:trPr>
        <w:tc>
          <w:tcPr>
            <w:tcW w:w="1357" w:type="dxa"/>
            <w:tcBorders>
              <w:top w:val="nil"/>
              <w:left w:val="nil"/>
              <w:bottom w:val="nil"/>
              <w:right w:val="nil"/>
            </w:tcBorders>
            <w:shd w:val="clear" w:color="000000" w:fill="F2DCDB"/>
            <w:noWrap/>
            <w:vAlign w:val="bottom"/>
            <w:hideMark/>
          </w:tcPr>
          <w:p w14:paraId="4A21C36C" w14:textId="77777777" w:rsidR="002C5185" w:rsidRPr="002C5185" w:rsidRDefault="002C5185" w:rsidP="002C5185">
            <w:pPr>
              <w:jc w:val="center"/>
              <w:rPr>
                <w:rFonts w:cs="Arial"/>
                <w:color w:val="000000"/>
                <w:sz w:val="20"/>
              </w:rPr>
            </w:pPr>
            <w:r w:rsidRPr="002C5185">
              <w:rPr>
                <w:rFonts w:cs="Arial"/>
                <w:color w:val="000000"/>
                <w:sz w:val="20"/>
              </w:rPr>
              <w:t> </w:t>
            </w:r>
          </w:p>
        </w:tc>
        <w:tc>
          <w:tcPr>
            <w:tcW w:w="1136" w:type="dxa"/>
            <w:tcBorders>
              <w:top w:val="nil"/>
              <w:left w:val="nil"/>
              <w:bottom w:val="nil"/>
              <w:right w:val="nil"/>
            </w:tcBorders>
            <w:shd w:val="clear" w:color="000000" w:fill="F2DCDB"/>
            <w:noWrap/>
            <w:vAlign w:val="bottom"/>
            <w:hideMark/>
          </w:tcPr>
          <w:p w14:paraId="0C52E1A6" w14:textId="77777777" w:rsidR="002C5185" w:rsidRPr="002C5185" w:rsidRDefault="002C5185" w:rsidP="002C5185">
            <w:pPr>
              <w:jc w:val="center"/>
              <w:rPr>
                <w:rFonts w:cs="Arial"/>
                <w:color w:val="000000"/>
                <w:sz w:val="20"/>
              </w:rPr>
            </w:pPr>
            <w:r w:rsidRPr="002C5185">
              <w:rPr>
                <w:rFonts w:cs="Arial"/>
                <w:color w:val="000000"/>
                <w:sz w:val="20"/>
              </w:rPr>
              <w:t> </w:t>
            </w:r>
          </w:p>
        </w:tc>
        <w:tc>
          <w:tcPr>
            <w:tcW w:w="6163" w:type="dxa"/>
            <w:gridSpan w:val="5"/>
            <w:tcBorders>
              <w:top w:val="nil"/>
              <w:left w:val="nil"/>
              <w:bottom w:val="single" w:sz="4" w:space="0" w:color="BFBFBF"/>
              <w:right w:val="nil"/>
            </w:tcBorders>
            <w:shd w:val="clear" w:color="000000" w:fill="F2DCDB"/>
            <w:vAlign w:val="bottom"/>
            <w:hideMark/>
          </w:tcPr>
          <w:p w14:paraId="62A767DB" w14:textId="77777777" w:rsidR="002C5185" w:rsidRPr="002C5185" w:rsidRDefault="002C5185" w:rsidP="002C5185">
            <w:pPr>
              <w:jc w:val="center"/>
              <w:rPr>
                <w:rFonts w:cs="Arial"/>
                <w:color w:val="000000"/>
                <w:sz w:val="20"/>
              </w:rPr>
            </w:pPr>
            <w:r w:rsidRPr="002C5185">
              <w:rPr>
                <w:rFonts w:cs="Arial"/>
                <w:color w:val="000000"/>
                <w:sz w:val="20"/>
              </w:rPr>
              <w:t>Flow balance (l/s)</w:t>
            </w:r>
          </w:p>
        </w:tc>
        <w:tc>
          <w:tcPr>
            <w:tcW w:w="1416" w:type="dxa"/>
            <w:tcBorders>
              <w:top w:val="nil"/>
              <w:left w:val="nil"/>
              <w:bottom w:val="nil"/>
              <w:right w:val="nil"/>
            </w:tcBorders>
            <w:shd w:val="clear" w:color="000000" w:fill="F2DCDB"/>
            <w:noWrap/>
            <w:vAlign w:val="bottom"/>
            <w:hideMark/>
          </w:tcPr>
          <w:p w14:paraId="4B48327F" w14:textId="77777777" w:rsidR="002C5185" w:rsidRPr="002C5185" w:rsidRDefault="002C5185" w:rsidP="002C5185">
            <w:pPr>
              <w:jc w:val="center"/>
              <w:rPr>
                <w:rFonts w:cs="Arial"/>
                <w:color w:val="000000"/>
                <w:sz w:val="20"/>
              </w:rPr>
            </w:pPr>
            <w:r w:rsidRPr="002C5185">
              <w:rPr>
                <w:rFonts w:cs="Arial"/>
                <w:color w:val="000000"/>
                <w:sz w:val="20"/>
              </w:rPr>
              <w:t> </w:t>
            </w:r>
          </w:p>
        </w:tc>
        <w:tc>
          <w:tcPr>
            <w:tcW w:w="1036" w:type="dxa"/>
            <w:tcBorders>
              <w:top w:val="nil"/>
              <w:left w:val="nil"/>
              <w:bottom w:val="nil"/>
              <w:right w:val="nil"/>
            </w:tcBorders>
            <w:shd w:val="clear" w:color="000000" w:fill="F2DCDB"/>
            <w:noWrap/>
            <w:vAlign w:val="bottom"/>
            <w:hideMark/>
          </w:tcPr>
          <w:p w14:paraId="2BC6083B" w14:textId="77777777" w:rsidR="002C5185" w:rsidRPr="002C5185" w:rsidRDefault="002C5185" w:rsidP="002C5185">
            <w:pPr>
              <w:jc w:val="center"/>
              <w:rPr>
                <w:rFonts w:cs="Arial"/>
                <w:color w:val="000000"/>
                <w:sz w:val="20"/>
              </w:rPr>
            </w:pPr>
            <w:r w:rsidRPr="002C5185">
              <w:rPr>
                <w:rFonts w:cs="Arial"/>
                <w:color w:val="000000"/>
                <w:sz w:val="20"/>
              </w:rPr>
              <w:t> </w:t>
            </w:r>
          </w:p>
        </w:tc>
        <w:tc>
          <w:tcPr>
            <w:tcW w:w="1136" w:type="dxa"/>
            <w:tcBorders>
              <w:top w:val="nil"/>
              <w:left w:val="nil"/>
              <w:bottom w:val="nil"/>
              <w:right w:val="nil"/>
            </w:tcBorders>
            <w:shd w:val="clear" w:color="000000" w:fill="F2DCDB"/>
            <w:noWrap/>
            <w:vAlign w:val="bottom"/>
            <w:hideMark/>
          </w:tcPr>
          <w:p w14:paraId="67368DF5" w14:textId="77777777" w:rsidR="002C5185" w:rsidRPr="002C5185" w:rsidRDefault="002C5185" w:rsidP="002C5185">
            <w:pPr>
              <w:jc w:val="center"/>
              <w:rPr>
                <w:rFonts w:cs="Arial"/>
                <w:color w:val="000000"/>
                <w:sz w:val="20"/>
              </w:rPr>
            </w:pPr>
            <w:r w:rsidRPr="002C5185">
              <w:rPr>
                <w:rFonts w:cs="Arial"/>
                <w:color w:val="000000"/>
                <w:sz w:val="20"/>
              </w:rPr>
              <w:t> </w:t>
            </w:r>
          </w:p>
        </w:tc>
        <w:tc>
          <w:tcPr>
            <w:tcW w:w="1416" w:type="dxa"/>
            <w:tcBorders>
              <w:top w:val="nil"/>
              <w:left w:val="nil"/>
              <w:bottom w:val="nil"/>
              <w:right w:val="nil"/>
            </w:tcBorders>
            <w:shd w:val="clear" w:color="000000" w:fill="F2DCDB"/>
            <w:noWrap/>
            <w:vAlign w:val="bottom"/>
            <w:hideMark/>
          </w:tcPr>
          <w:p w14:paraId="32F0D7A1" w14:textId="77777777" w:rsidR="002C5185" w:rsidRPr="002C5185" w:rsidRDefault="002C5185" w:rsidP="002C5185">
            <w:pPr>
              <w:jc w:val="center"/>
              <w:rPr>
                <w:rFonts w:cs="Arial"/>
                <w:color w:val="000000"/>
                <w:sz w:val="20"/>
              </w:rPr>
            </w:pPr>
            <w:r w:rsidRPr="002C5185">
              <w:rPr>
                <w:rFonts w:cs="Arial"/>
                <w:color w:val="000000"/>
                <w:sz w:val="20"/>
              </w:rPr>
              <w:t> </w:t>
            </w:r>
          </w:p>
        </w:tc>
      </w:tr>
      <w:tr w:rsidR="002C5185" w:rsidRPr="002C5185" w14:paraId="5DF93ECB" w14:textId="77777777" w:rsidTr="002C5185">
        <w:trPr>
          <w:trHeight w:val="645"/>
        </w:trPr>
        <w:tc>
          <w:tcPr>
            <w:tcW w:w="1357" w:type="dxa"/>
            <w:tcBorders>
              <w:top w:val="single" w:sz="4" w:space="0" w:color="BFBFBF"/>
              <w:left w:val="single" w:sz="4" w:space="0" w:color="BFBFBF"/>
              <w:bottom w:val="single" w:sz="4" w:space="0" w:color="BFBFBF"/>
              <w:right w:val="single" w:sz="4" w:space="0" w:color="BFBFBF"/>
            </w:tcBorders>
            <w:shd w:val="clear" w:color="000000" w:fill="F2DCDB"/>
            <w:vAlign w:val="bottom"/>
            <w:hideMark/>
          </w:tcPr>
          <w:p w14:paraId="2CAB9B5A" w14:textId="77777777" w:rsidR="002C5185" w:rsidRPr="002C5185" w:rsidRDefault="002C5185" w:rsidP="002C5185">
            <w:pPr>
              <w:jc w:val="center"/>
              <w:rPr>
                <w:rFonts w:cs="Arial"/>
                <w:color w:val="000000"/>
                <w:sz w:val="20"/>
              </w:rPr>
            </w:pPr>
            <w:r w:rsidRPr="002C5185">
              <w:rPr>
                <w:rFonts w:cs="Arial"/>
                <w:color w:val="000000"/>
                <w:sz w:val="20"/>
              </w:rPr>
              <w:t>Date</w:t>
            </w:r>
          </w:p>
        </w:tc>
        <w:tc>
          <w:tcPr>
            <w:tcW w:w="1136" w:type="dxa"/>
            <w:tcBorders>
              <w:top w:val="single" w:sz="4" w:space="0" w:color="BFBFBF"/>
              <w:left w:val="nil"/>
              <w:bottom w:val="single" w:sz="4" w:space="0" w:color="BFBFBF"/>
              <w:right w:val="single" w:sz="4" w:space="0" w:color="BFBFBF"/>
            </w:tcBorders>
            <w:shd w:val="clear" w:color="000000" w:fill="F2DCDB"/>
            <w:vAlign w:val="bottom"/>
            <w:hideMark/>
          </w:tcPr>
          <w:p w14:paraId="4E739221" w14:textId="77777777" w:rsidR="002C5185" w:rsidRPr="002C5185" w:rsidRDefault="002C5185" w:rsidP="002C5185">
            <w:pPr>
              <w:jc w:val="center"/>
              <w:rPr>
                <w:rFonts w:cs="Arial"/>
                <w:color w:val="000000"/>
                <w:sz w:val="20"/>
              </w:rPr>
            </w:pPr>
            <w:r w:rsidRPr="002C5185">
              <w:rPr>
                <w:rFonts w:cs="Arial"/>
                <w:color w:val="000000"/>
                <w:sz w:val="20"/>
              </w:rPr>
              <w:t>Q</w:t>
            </w:r>
          </w:p>
        </w:tc>
        <w:tc>
          <w:tcPr>
            <w:tcW w:w="1100" w:type="dxa"/>
            <w:tcBorders>
              <w:top w:val="nil"/>
              <w:left w:val="nil"/>
              <w:bottom w:val="single" w:sz="4" w:space="0" w:color="BFBFBF"/>
              <w:right w:val="single" w:sz="4" w:space="0" w:color="BFBFBF"/>
            </w:tcBorders>
            <w:shd w:val="clear" w:color="000000" w:fill="F2DCDB"/>
            <w:vAlign w:val="bottom"/>
            <w:hideMark/>
          </w:tcPr>
          <w:p w14:paraId="42B9CBF0" w14:textId="77777777" w:rsidR="002C5185" w:rsidRPr="002C5185" w:rsidRDefault="002C5185" w:rsidP="002C5185">
            <w:pPr>
              <w:jc w:val="center"/>
              <w:rPr>
                <w:rFonts w:cs="Arial"/>
                <w:color w:val="000000"/>
                <w:sz w:val="20"/>
              </w:rPr>
            </w:pPr>
            <w:r w:rsidRPr="002C5185">
              <w:rPr>
                <w:rFonts w:cs="Arial"/>
                <w:color w:val="000000"/>
                <w:sz w:val="20"/>
              </w:rPr>
              <w:t>WA7</w:t>
            </w:r>
          </w:p>
        </w:tc>
        <w:tc>
          <w:tcPr>
            <w:tcW w:w="1102" w:type="dxa"/>
            <w:tcBorders>
              <w:top w:val="nil"/>
              <w:left w:val="nil"/>
              <w:bottom w:val="single" w:sz="4" w:space="0" w:color="BFBFBF"/>
              <w:right w:val="single" w:sz="4" w:space="0" w:color="BFBFBF"/>
            </w:tcBorders>
            <w:shd w:val="clear" w:color="000000" w:fill="F2DCDB"/>
            <w:vAlign w:val="bottom"/>
            <w:hideMark/>
          </w:tcPr>
          <w:p w14:paraId="6CD188C2" w14:textId="77777777" w:rsidR="002C5185" w:rsidRPr="002C5185" w:rsidRDefault="002C5185" w:rsidP="002C5185">
            <w:pPr>
              <w:jc w:val="center"/>
              <w:rPr>
                <w:rFonts w:cs="Arial"/>
                <w:color w:val="000000"/>
                <w:sz w:val="20"/>
              </w:rPr>
            </w:pPr>
            <w:r w:rsidRPr="002C5185">
              <w:rPr>
                <w:rFonts w:cs="Arial"/>
                <w:color w:val="000000"/>
                <w:sz w:val="20"/>
              </w:rPr>
              <w:t>WA6</w:t>
            </w:r>
          </w:p>
        </w:tc>
        <w:tc>
          <w:tcPr>
            <w:tcW w:w="1386" w:type="dxa"/>
            <w:tcBorders>
              <w:top w:val="nil"/>
              <w:left w:val="nil"/>
              <w:bottom w:val="single" w:sz="4" w:space="0" w:color="BFBFBF"/>
              <w:right w:val="single" w:sz="4" w:space="0" w:color="BFBFBF"/>
            </w:tcBorders>
            <w:shd w:val="clear" w:color="000000" w:fill="F2DCDB"/>
            <w:vAlign w:val="bottom"/>
            <w:hideMark/>
          </w:tcPr>
          <w:p w14:paraId="3D785AC3" w14:textId="77777777" w:rsidR="002C5185" w:rsidRPr="002C5185" w:rsidRDefault="002C5185" w:rsidP="002C5185">
            <w:pPr>
              <w:jc w:val="center"/>
              <w:rPr>
                <w:rFonts w:cs="Arial"/>
                <w:color w:val="000000"/>
                <w:sz w:val="20"/>
              </w:rPr>
            </w:pPr>
            <w:r w:rsidRPr="002C5185">
              <w:rPr>
                <w:rFonts w:cs="Arial"/>
                <w:color w:val="000000"/>
                <w:sz w:val="20"/>
              </w:rPr>
              <w:t>% accounted for at WA6</w:t>
            </w:r>
          </w:p>
        </w:tc>
        <w:tc>
          <w:tcPr>
            <w:tcW w:w="1473" w:type="dxa"/>
            <w:tcBorders>
              <w:top w:val="nil"/>
              <w:left w:val="nil"/>
              <w:bottom w:val="single" w:sz="4" w:space="0" w:color="BFBFBF"/>
              <w:right w:val="single" w:sz="4" w:space="0" w:color="BFBFBF"/>
            </w:tcBorders>
            <w:shd w:val="clear" w:color="000000" w:fill="F2DCDB"/>
            <w:vAlign w:val="bottom"/>
            <w:hideMark/>
          </w:tcPr>
          <w:p w14:paraId="4D3EAE0D" w14:textId="77777777" w:rsidR="002C5185" w:rsidRPr="002C5185" w:rsidRDefault="002C5185" w:rsidP="002C5185">
            <w:pPr>
              <w:jc w:val="center"/>
              <w:rPr>
                <w:rFonts w:cs="Arial"/>
                <w:color w:val="000000"/>
                <w:sz w:val="20"/>
              </w:rPr>
            </w:pPr>
            <w:r w:rsidRPr="002C5185">
              <w:rPr>
                <w:rFonts w:cs="Arial"/>
                <w:color w:val="000000"/>
                <w:sz w:val="20"/>
              </w:rPr>
              <w:t xml:space="preserve">WA6 + WA5 + WA4 +WA3 </w:t>
            </w:r>
          </w:p>
        </w:tc>
        <w:tc>
          <w:tcPr>
            <w:tcW w:w="1102" w:type="dxa"/>
            <w:tcBorders>
              <w:top w:val="nil"/>
              <w:left w:val="nil"/>
              <w:bottom w:val="single" w:sz="4" w:space="0" w:color="BFBFBF"/>
              <w:right w:val="single" w:sz="4" w:space="0" w:color="BFBFBF"/>
            </w:tcBorders>
            <w:shd w:val="clear" w:color="000000" w:fill="F2DCDB"/>
            <w:vAlign w:val="bottom"/>
            <w:hideMark/>
          </w:tcPr>
          <w:p w14:paraId="78A7FFF0" w14:textId="77777777" w:rsidR="002C5185" w:rsidRPr="002C5185" w:rsidRDefault="002C5185" w:rsidP="002C5185">
            <w:pPr>
              <w:jc w:val="center"/>
              <w:rPr>
                <w:rFonts w:cs="Arial"/>
                <w:color w:val="000000"/>
                <w:sz w:val="20"/>
              </w:rPr>
            </w:pPr>
            <w:r w:rsidRPr="002C5185">
              <w:rPr>
                <w:rFonts w:cs="Arial"/>
                <w:color w:val="000000"/>
                <w:sz w:val="20"/>
              </w:rPr>
              <w:t>WA2</w:t>
            </w:r>
          </w:p>
        </w:tc>
        <w:tc>
          <w:tcPr>
            <w:tcW w:w="1416" w:type="dxa"/>
            <w:tcBorders>
              <w:top w:val="single" w:sz="4" w:space="0" w:color="BFBFBF"/>
              <w:left w:val="nil"/>
              <w:bottom w:val="single" w:sz="4" w:space="0" w:color="BFBFBF"/>
              <w:right w:val="single" w:sz="4" w:space="0" w:color="BFBFBF"/>
            </w:tcBorders>
            <w:shd w:val="clear" w:color="000000" w:fill="F2DCDB"/>
            <w:vAlign w:val="bottom"/>
            <w:hideMark/>
          </w:tcPr>
          <w:p w14:paraId="60128482" w14:textId="77777777" w:rsidR="002C5185" w:rsidRPr="002C5185" w:rsidRDefault="002C5185" w:rsidP="002C5185">
            <w:pPr>
              <w:jc w:val="center"/>
              <w:rPr>
                <w:rFonts w:cs="Arial"/>
                <w:color w:val="000000"/>
                <w:sz w:val="20"/>
              </w:rPr>
            </w:pPr>
            <w:r w:rsidRPr="002C5185">
              <w:rPr>
                <w:rFonts w:cs="Arial"/>
                <w:color w:val="000000"/>
                <w:sz w:val="20"/>
              </w:rPr>
              <w:t>% accounted for at WA2</w:t>
            </w:r>
          </w:p>
        </w:tc>
        <w:tc>
          <w:tcPr>
            <w:tcW w:w="1036" w:type="dxa"/>
            <w:tcBorders>
              <w:top w:val="single" w:sz="4" w:space="0" w:color="BFBFBF"/>
              <w:left w:val="nil"/>
              <w:bottom w:val="single" w:sz="4" w:space="0" w:color="BFBFBF"/>
              <w:right w:val="single" w:sz="4" w:space="0" w:color="BFBFBF"/>
            </w:tcBorders>
            <w:shd w:val="clear" w:color="000000" w:fill="F2DCDB"/>
            <w:vAlign w:val="bottom"/>
            <w:hideMark/>
          </w:tcPr>
          <w:p w14:paraId="417265D7" w14:textId="77777777" w:rsidR="002C5185" w:rsidRPr="002C5185" w:rsidRDefault="002C5185" w:rsidP="002C5185">
            <w:pPr>
              <w:jc w:val="center"/>
              <w:rPr>
                <w:rFonts w:cs="Arial"/>
                <w:color w:val="000000"/>
                <w:sz w:val="20"/>
              </w:rPr>
            </w:pPr>
            <w:r w:rsidRPr="002C5185">
              <w:rPr>
                <w:rFonts w:cs="Arial"/>
                <w:color w:val="000000"/>
                <w:sz w:val="20"/>
              </w:rPr>
              <w:t xml:space="preserve"> WA2</w:t>
            </w:r>
          </w:p>
        </w:tc>
        <w:tc>
          <w:tcPr>
            <w:tcW w:w="1136" w:type="dxa"/>
            <w:tcBorders>
              <w:top w:val="single" w:sz="4" w:space="0" w:color="BFBFBF"/>
              <w:left w:val="nil"/>
              <w:bottom w:val="single" w:sz="4" w:space="0" w:color="BFBFBF"/>
              <w:right w:val="single" w:sz="4" w:space="0" w:color="BFBFBF"/>
            </w:tcBorders>
            <w:shd w:val="clear" w:color="000000" w:fill="F2DCDB"/>
            <w:vAlign w:val="bottom"/>
            <w:hideMark/>
          </w:tcPr>
          <w:p w14:paraId="5CB9B12F" w14:textId="77777777" w:rsidR="002C5185" w:rsidRPr="002C5185" w:rsidRDefault="002C5185" w:rsidP="002C5185">
            <w:pPr>
              <w:jc w:val="center"/>
              <w:rPr>
                <w:rFonts w:cs="Arial"/>
                <w:color w:val="000000"/>
                <w:sz w:val="20"/>
              </w:rPr>
            </w:pPr>
            <w:r w:rsidRPr="002C5185">
              <w:rPr>
                <w:rFonts w:cs="Arial"/>
                <w:color w:val="000000"/>
                <w:sz w:val="20"/>
              </w:rPr>
              <w:t>WA1</w:t>
            </w:r>
          </w:p>
        </w:tc>
        <w:tc>
          <w:tcPr>
            <w:tcW w:w="1416" w:type="dxa"/>
            <w:tcBorders>
              <w:top w:val="single" w:sz="4" w:space="0" w:color="BFBFBF"/>
              <w:left w:val="nil"/>
              <w:bottom w:val="single" w:sz="4" w:space="0" w:color="BFBFBF"/>
              <w:right w:val="single" w:sz="4" w:space="0" w:color="BFBFBF"/>
            </w:tcBorders>
            <w:shd w:val="clear" w:color="000000" w:fill="F2DCDB"/>
            <w:vAlign w:val="bottom"/>
            <w:hideMark/>
          </w:tcPr>
          <w:p w14:paraId="5ACF4E3C" w14:textId="77777777" w:rsidR="002C5185" w:rsidRPr="002C5185" w:rsidRDefault="002C5185" w:rsidP="002C5185">
            <w:pPr>
              <w:jc w:val="center"/>
              <w:rPr>
                <w:rFonts w:cs="Arial"/>
                <w:color w:val="000000"/>
                <w:sz w:val="20"/>
              </w:rPr>
            </w:pPr>
            <w:r w:rsidRPr="002C5185">
              <w:rPr>
                <w:rFonts w:cs="Arial"/>
                <w:color w:val="000000"/>
                <w:sz w:val="20"/>
              </w:rPr>
              <w:t>% accounted for</w:t>
            </w:r>
          </w:p>
        </w:tc>
      </w:tr>
      <w:tr w:rsidR="002C5185" w:rsidRPr="002C5185" w14:paraId="445AD8C0" w14:textId="77777777" w:rsidTr="002C5185">
        <w:trPr>
          <w:trHeight w:val="255"/>
        </w:trPr>
        <w:tc>
          <w:tcPr>
            <w:tcW w:w="1357" w:type="dxa"/>
            <w:tcBorders>
              <w:top w:val="nil"/>
              <w:left w:val="single" w:sz="4" w:space="0" w:color="BFBFBF"/>
              <w:bottom w:val="single" w:sz="4" w:space="0" w:color="BFBFBF"/>
              <w:right w:val="single" w:sz="4" w:space="0" w:color="BFBFBF"/>
            </w:tcBorders>
            <w:shd w:val="clear" w:color="auto" w:fill="auto"/>
            <w:noWrap/>
            <w:vAlign w:val="bottom"/>
            <w:hideMark/>
          </w:tcPr>
          <w:p w14:paraId="3DEADA46" w14:textId="77777777" w:rsidR="002C5185" w:rsidRPr="002C5185" w:rsidRDefault="002C5185" w:rsidP="002C5185">
            <w:pPr>
              <w:jc w:val="center"/>
              <w:rPr>
                <w:rFonts w:cs="Arial"/>
                <w:color w:val="000000"/>
                <w:sz w:val="20"/>
              </w:rPr>
            </w:pPr>
            <w:r w:rsidRPr="002C5185">
              <w:rPr>
                <w:rFonts w:cs="Arial"/>
                <w:color w:val="000000"/>
                <w:sz w:val="20"/>
              </w:rPr>
              <w:t>06/02/2014</w:t>
            </w:r>
          </w:p>
        </w:tc>
        <w:tc>
          <w:tcPr>
            <w:tcW w:w="1136" w:type="dxa"/>
            <w:tcBorders>
              <w:top w:val="nil"/>
              <w:left w:val="nil"/>
              <w:bottom w:val="single" w:sz="4" w:space="0" w:color="BFBFBF"/>
              <w:right w:val="single" w:sz="4" w:space="0" w:color="BFBFBF"/>
            </w:tcBorders>
            <w:shd w:val="clear" w:color="auto" w:fill="auto"/>
            <w:noWrap/>
            <w:vAlign w:val="bottom"/>
            <w:hideMark/>
          </w:tcPr>
          <w:p w14:paraId="75C471D0" w14:textId="77777777" w:rsidR="002C5185" w:rsidRPr="002C5185" w:rsidRDefault="002C5185" w:rsidP="002C5185">
            <w:pPr>
              <w:jc w:val="center"/>
              <w:rPr>
                <w:rFonts w:cs="Arial"/>
                <w:color w:val="000000"/>
                <w:sz w:val="20"/>
              </w:rPr>
            </w:pPr>
            <w:r w:rsidRPr="002C5185">
              <w:rPr>
                <w:rFonts w:cs="Arial"/>
                <w:color w:val="000000"/>
                <w:sz w:val="20"/>
              </w:rPr>
              <w:t>18</w:t>
            </w:r>
          </w:p>
        </w:tc>
        <w:tc>
          <w:tcPr>
            <w:tcW w:w="1100" w:type="dxa"/>
            <w:tcBorders>
              <w:top w:val="nil"/>
              <w:left w:val="nil"/>
              <w:bottom w:val="single" w:sz="4" w:space="0" w:color="BFBFBF"/>
              <w:right w:val="single" w:sz="4" w:space="0" w:color="BFBFBF"/>
            </w:tcBorders>
            <w:shd w:val="clear" w:color="auto" w:fill="auto"/>
            <w:noWrap/>
            <w:vAlign w:val="bottom"/>
            <w:hideMark/>
          </w:tcPr>
          <w:p w14:paraId="0C4F3639" w14:textId="77777777" w:rsidR="002C5185" w:rsidRPr="002C5185" w:rsidRDefault="002C5185" w:rsidP="002C5185">
            <w:pPr>
              <w:jc w:val="center"/>
              <w:rPr>
                <w:rFonts w:cs="Arial"/>
                <w:color w:val="000000"/>
                <w:sz w:val="20"/>
              </w:rPr>
            </w:pPr>
            <w:r w:rsidRPr="002C5185">
              <w:rPr>
                <w:rFonts w:cs="Arial"/>
                <w:color w:val="000000"/>
                <w:sz w:val="20"/>
              </w:rPr>
              <w:t>56.0</w:t>
            </w:r>
          </w:p>
        </w:tc>
        <w:tc>
          <w:tcPr>
            <w:tcW w:w="1102" w:type="dxa"/>
            <w:tcBorders>
              <w:top w:val="nil"/>
              <w:left w:val="nil"/>
              <w:bottom w:val="single" w:sz="4" w:space="0" w:color="BFBFBF"/>
              <w:right w:val="single" w:sz="4" w:space="0" w:color="BFBFBF"/>
            </w:tcBorders>
            <w:shd w:val="clear" w:color="auto" w:fill="auto"/>
            <w:noWrap/>
            <w:vAlign w:val="bottom"/>
            <w:hideMark/>
          </w:tcPr>
          <w:p w14:paraId="55DFCD59" w14:textId="77777777" w:rsidR="002C5185" w:rsidRPr="002C5185" w:rsidRDefault="002C5185" w:rsidP="002C5185">
            <w:pPr>
              <w:jc w:val="center"/>
              <w:rPr>
                <w:rFonts w:cs="Arial"/>
                <w:color w:val="000000"/>
                <w:sz w:val="20"/>
              </w:rPr>
            </w:pPr>
            <w:r w:rsidRPr="002C5185">
              <w:rPr>
                <w:rFonts w:cs="Arial"/>
                <w:color w:val="000000"/>
                <w:sz w:val="20"/>
              </w:rPr>
              <w:t>413.0</w:t>
            </w:r>
          </w:p>
        </w:tc>
        <w:tc>
          <w:tcPr>
            <w:tcW w:w="1386" w:type="dxa"/>
            <w:tcBorders>
              <w:top w:val="nil"/>
              <w:left w:val="nil"/>
              <w:bottom w:val="single" w:sz="4" w:space="0" w:color="BFBFBF"/>
              <w:right w:val="double" w:sz="6" w:space="0" w:color="808080"/>
            </w:tcBorders>
            <w:shd w:val="clear" w:color="auto" w:fill="auto"/>
            <w:noWrap/>
            <w:vAlign w:val="bottom"/>
            <w:hideMark/>
          </w:tcPr>
          <w:p w14:paraId="05D5A25B" w14:textId="77777777" w:rsidR="002C5185" w:rsidRPr="002C5185" w:rsidRDefault="002C5185" w:rsidP="002C5185">
            <w:pPr>
              <w:jc w:val="center"/>
              <w:rPr>
                <w:rFonts w:cs="Arial"/>
                <w:color w:val="000000"/>
                <w:sz w:val="20"/>
              </w:rPr>
            </w:pPr>
            <w:r w:rsidRPr="002C5185">
              <w:rPr>
                <w:rFonts w:cs="Arial"/>
                <w:color w:val="000000"/>
                <w:sz w:val="20"/>
              </w:rPr>
              <w:t>14%</w:t>
            </w:r>
          </w:p>
        </w:tc>
        <w:tc>
          <w:tcPr>
            <w:tcW w:w="1473" w:type="dxa"/>
            <w:tcBorders>
              <w:top w:val="nil"/>
              <w:left w:val="nil"/>
              <w:bottom w:val="single" w:sz="4" w:space="0" w:color="BFBFBF"/>
              <w:right w:val="single" w:sz="4" w:space="0" w:color="BFBFBF"/>
            </w:tcBorders>
            <w:shd w:val="clear" w:color="auto" w:fill="auto"/>
            <w:noWrap/>
            <w:vAlign w:val="bottom"/>
            <w:hideMark/>
          </w:tcPr>
          <w:p w14:paraId="6FC23A6C" w14:textId="77777777" w:rsidR="002C5185" w:rsidRPr="002C5185" w:rsidRDefault="002C5185" w:rsidP="002C5185">
            <w:pPr>
              <w:jc w:val="center"/>
              <w:rPr>
                <w:rFonts w:cs="Arial"/>
                <w:color w:val="000000"/>
                <w:sz w:val="20"/>
              </w:rPr>
            </w:pPr>
            <w:r w:rsidRPr="002C5185">
              <w:rPr>
                <w:rFonts w:cs="Arial"/>
                <w:color w:val="000000"/>
                <w:sz w:val="20"/>
              </w:rPr>
              <w:t>442.9</w:t>
            </w:r>
          </w:p>
        </w:tc>
        <w:tc>
          <w:tcPr>
            <w:tcW w:w="1102" w:type="dxa"/>
            <w:tcBorders>
              <w:top w:val="nil"/>
              <w:left w:val="nil"/>
              <w:bottom w:val="single" w:sz="4" w:space="0" w:color="BFBFBF"/>
              <w:right w:val="single" w:sz="4" w:space="0" w:color="BFBFBF"/>
            </w:tcBorders>
            <w:shd w:val="clear" w:color="auto" w:fill="auto"/>
            <w:noWrap/>
            <w:vAlign w:val="bottom"/>
            <w:hideMark/>
          </w:tcPr>
          <w:p w14:paraId="09483860" w14:textId="77777777" w:rsidR="002C5185" w:rsidRPr="002C5185" w:rsidRDefault="002C5185" w:rsidP="002C5185">
            <w:pPr>
              <w:jc w:val="center"/>
              <w:rPr>
                <w:rFonts w:cs="Arial"/>
                <w:color w:val="000000"/>
                <w:sz w:val="20"/>
              </w:rPr>
            </w:pPr>
            <w:r w:rsidRPr="002C5185">
              <w:rPr>
                <w:rFonts w:cs="Arial"/>
                <w:color w:val="000000"/>
                <w:sz w:val="20"/>
              </w:rPr>
              <w:t>549.0</w:t>
            </w:r>
          </w:p>
        </w:tc>
        <w:tc>
          <w:tcPr>
            <w:tcW w:w="1416" w:type="dxa"/>
            <w:tcBorders>
              <w:top w:val="nil"/>
              <w:left w:val="nil"/>
              <w:bottom w:val="single" w:sz="4" w:space="0" w:color="BFBFBF"/>
              <w:right w:val="double" w:sz="6" w:space="0" w:color="808080"/>
            </w:tcBorders>
            <w:shd w:val="clear" w:color="auto" w:fill="auto"/>
            <w:noWrap/>
            <w:vAlign w:val="bottom"/>
            <w:hideMark/>
          </w:tcPr>
          <w:p w14:paraId="32A76729" w14:textId="77777777" w:rsidR="002C5185" w:rsidRPr="002C5185" w:rsidRDefault="002C5185" w:rsidP="002C5185">
            <w:pPr>
              <w:jc w:val="center"/>
              <w:rPr>
                <w:rFonts w:cs="Arial"/>
                <w:color w:val="000000"/>
                <w:sz w:val="20"/>
              </w:rPr>
            </w:pPr>
            <w:r w:rsidRPr="002C5185">
              <w:rPr>
                <w:rFonts w:cs="Arial"/>
                <w:color w:val="000000"/>
                <w:sz w:val="20"/>
              </w:rPr>
              <w:t>81%</w:t>
            </w:r>
          </w:p>
        </w:tc>
        <w:tc>
          <w:tcPr>
            <w:tcW w:w="1036" w:type="dxa"/>
            <w:tcBorders>
              <w:top w:val="nil"/>
              <w:left w:val="nil"/>
              <w:bottom w:val="single" w:sz="4" w:space="0" w:color="BFBFBF"/>
              <w:right w:val="single" w:sz="4" w:space="0" w:color="BFBFBF"/>
            </w:tcBorders>
            <w:shd w:val="clear" w:color="auto" w:fill="auto"/>
            <w:noWrap/>
            <w:vAlign w:val="bottom"/>
            <w:hideMark/>
          </w:tcPr>
          <w:p w14:paraId="5B2D50C8" w14:textId="77777777" w:rsidR="002C5185" w:rsidRPr="002C5185" w:rsidRDefault="002C5185" w:rsidP="002C5185">
            <w:pPr>
              <w:jc w:val="center"/>
              <w:rPr>
                <w:rFonts w:cs="Arial"/>
                <w:color w:val="000000"/>
                <w:sz w:val="20"/>
              </w:rPr>
            </w:pPr>
            <w:r w:rsidRPr="002C5185">
              <w:rPr>
                <w:rFonts w:cs="Arial"/>
                <w:color w:val="000000"/>
                <w:sz w:val="20"/>
              </w:rPr>
              <w:t>549.0</w:t>
            </w:r>
          </w:p>
        </w:tc>
        <w:tc>
          <w:tcPr>
            <w:tcW w:w="1136" w:type="dxa"/>
            <w:tcBorders>
              <w:top w:val="nil"/>
              <w:left w:val="nil"/>
              <w:bottom w:val="single" w:sz="4" w:space="0" w:color="BFBFBF"/>
              <w:right w:val="single" w:sz="4" w:space="0" w:color="BFBFBF"/>
            </w:tcBorders>
            <w:shd w:val="clear" w:color="auto" w:fill="auto"/>
            <w:noWrap/>
            <w:vAlign w:val="bottom"/>
            <w:hideMark/>
          </w:tcPr>
          <w:p w14:paraId="7480EE08" w14:textId="77777777" w:rsidR="002C5185" w:rsidRPr="002C5185" w:rsidRDefault="002C5185" w:rsidP="002C5185">
            <w:pPr>
              <w:jc w:val="center"/>
              <w:rPr>
                <w:rFonts w:cs="Arial"/>
                <w:color w:val="000000"/>
                <w:sz w:val="20"/>
              </w:rPr>
            </w:pPr>
            <w:r w:rsidRPr="002C5185">
              <w:rPr>
                <w:rFonts w:cs="Arial"/>
                <w:color w:val="000000"/>
                <w:sz w:val="20"/>
              </w:rPr>
              <w:t>2463.0</w:t>
            </w:r>
          </w:p>
        </w:tc>
        <w:tc>
          <w:tcPr>
            <w:tcW w:w="1416" w:type="dxa"/>
            <w:tcBorders>
              <w:top w:val="nil"/>
              <w:left w:val="nil"/>
              <w:bottom w:val="single" w:sz="4" w:space="0" w:color="BFBFBF"/>
              <w:right w:val="single" w:sz="4" w:space="0" w:color="BFBFBF"/>
            </w:tcBorders>
            <w:shd w:val="clear" w:color="auto" w:fill="auto"/>
            <w:noWrap/>
            <w:vAlign w:val="bottom"/>
            <w:hideMark/>
          </w:tcPr>
          <w:p w14:paraId="11389FE5" w14:textId="77777777" w:rsidR="002C5185" w:rsidRPr="002C5185" w:rsidRDefault="002C5185" w:rsidP="002C5185">
            <w:pPr>
              <w:jc w:val="center"/>
              <w:rPr>
                <w:rFonts w:cs="Arial"/>
                <w:color w:val="000000"/>
                <w:sz w:val="20"/>
              </w:rPr>
            </w:pPr>
            <w:r w:rsidRPr="002C5185">
              <w:rPr>
                <w:rFonts w:cs="Arial"/>
                <w:color w:val="000000"/>
                <w:sz w:val="20"/>
              </w:rPr>
              <w:t>22%</w:t>
            </w:r>
          </w:p>
        </w:tc>
      </w:tr>
      <w:tr w:rsidR="002C5185" w:rsidRPr="002C5185" w14:paraId="64264554" w14:textId="77777777" w:rsidTr="002C5185">
        <w:trPr>
          <w:trHeight w:val="255"/>
        </w:trPr>
        <w:tc>
          <w:tcPr>
            <w:tcW w:w="1357" w:type="dxa"/>
            <w:tcBorders>
              <w:top w:val="nil"/>
              <w:left w:val="single" w:sz="4" w:space="0" w:color="BFBFBF"/>
              <w:bottom w:val="single" w:sz="4" w:space="0" w:color="BFBFBF"/>
              <w:right w:val="single" w:sz="4" w:space="0" w:color="BFBFBF"/>
            </w:tcBorders>
            <w:shd w:val="clear" w:color="auto" w:fill="auto"/>
            <w:noWrap/>
            <w:vAlign w:val="bottom"/>
            <w:hideMark/>
          </w:tcPr>
          <w:p w14:paraId="6C3A1F4E" w14:textId="77777777" w:rsidR="002C5185" w:rsidRPr="002C5185" w:rsidRDefault="002C5185" w:rsidP="002C5185">
            <w:pPr>
              <w:jc w:val="center"/>
              <w:rPr>
                <w:rFonts w:cs="Arial"/>
                <w:color w:val="000000"/>
                <w:sz w:val="20"/>
              </w:rPr>
            </w:pPr>
            <w:r w:rsidRPr="002C5185">
              <w:rPr>
                <w:rFonts w:cs="Arial"/>
                <w:color w:val="000000"/>
                <w:sz w:val="20"/>
              </w:rPr>
              <w:t>14/01/2014</w:t>
            </w:r>
          </w:p>
        </w:tc>
        <w:tc>
          <w:tcPr>
            <w:tcW w:w="1136" w:type="dxa"/>
            <w:tcBorders>
              <w:top w:val="nil"/>
              <w:left w:val="nil"/>
              <w:bottom w:val="single" w:sz="4" w:space="0" w:color="BFBFBF"/>
              <w:right w:val="single" w:sz="4" w:space="0" w:color="BFBFBF"/>
            </w:tcBorders>
            <w:shd w:val="clear" w:color="auto" w:fill="auto"/>
            <w:noWrap/>
            <w:vAlign w:val="bottom"/>
            <w:hideMark/>
          </w:tcPr>
          <w:p w14:paraId="0CCFE036" w14:textId="77777777" w:rsidR="002C5185" w:rsidRPr="002C5185" w:rsidRDefault="002C5185" w:rsidP="002C5185">
            <w:pPr>
              <w:jc w:val="center"/>
              <w:rPr>
                <w:rFonts w:cs="Arial"/>
                <w:color w:val="000000"/>
                <w:sz w:val="20"/>
              </w:rPr>
            </w:pPr>
            <w:r w:rsidRPr="002C5185">
              <w:rPr>
                <w:rFonts w:cs="Arial"/>
                <w:color w:val="000000"/>
                <w:sz w:val="20"/>
              </w:rPr>
              <w:t>21</w:t>
            </w:r>
          </w:p>
        </w:tc>
        <w:tc>
          <w:tcPr>
            <w:tcW w:w="1100" w:type="dxa"/>
            <w:tcBorders>
              <w:top w:val="nil"/>
              <w:left w:val="nil"/>
              <w:bottom w:val="single" w:sz="4" w:space="0" w:color="BFBFBF"/>
              <w:right w:val="single" w:sz="4" w:space="0" w:color="BFBFBF"/>
            </w:tcBorders>
            <w:shd w:val="clear" w:color="auto" w:fill="auto"/>
            <w:noWrap/>
            <w:vAlign w:val="bottom"/>
            <w:hideMark/>
          </w:tcPr>
          <w:p w14:paraId="1DD92840" w14:textId="77777777" w:rsidR="002C5185" w:rsidRPr="002C5185" w:rsidRDefault="002C5185" w:rsidP="002C5185">
            <w:pPr>
              <w:jc w:val="center"/>
              <w:rPr>
                <w:rFonts w:cs="Arial"/>
                <w:color w:val="000000"/>
                <w:sz w:val="20"/>
              </w:rPr>
            </w:pPr>
            <w:r w:rsidRPr="002C5185">
              <w:rPr>
                <w:rFonts w:cs="Arial"/>
                <w:color w:val="000000"/>
                <w:sz w:val="20"/>
              </w:rPr>
              <w:t>9.0</w:t>
            </w:r>
          </w:p>
        </w:tc>
        <w:tc>
          <w:tcPr>
            <w:tcW w:w="1102" w:type="dxa"/>
            <w:tcBorders>
              <w:top w:val="nil"/>
              <w:left w:val="nil"/>
              <w:bottom w:val="single" w:sz="4" w:space="0" w:color="BFBFBF"/>
              <w:right w:val="single" w:sz="4" w:space="0" w:color="BFBFBF"/>
            </w:tcBorders>
            <w:shd w:val="clear" w:color="auto" w:fill="auto"/>
            <w:noWrap/>
            <w:vAlign w:val="bottom"/>
            <w:hideMark/>
          </w:tcPr>
          <w:p w14:paraId="2EE9CE4E" w14:textId="77777777" w:rsidR="002C5185" w:rsidRPr="002C5185" w:rsidRDefault="002C5185" w:rsidP="002C5185">
            <w:pPr>
              <w:jc w:val="center"/>
              <w:rPr>
                <w:rFonts w:cs="Arial"/>
                <w:color w:val="000000"/>
                <w:sz w:val="20"/>
              </w:rPr>
            </w:pPr>
            <w:r w:rsidRPr="002C5185">
              <w:rPr>
                <w:rFonts w:cs="Arial"/>
                <w:color w:val="000000"/>
                <w:sz w:val="20"/>
              </w:rPr>
              <w:t>154.0</w:t>
            </w:r>
          </w:p>
        </w:tc>
        <w:tc>
          <w:tcPr>
            <w:tcW w:w="1386" w:type="dxa"/>
            <w:tcBorders>
              <w:top w:val="nil"/>
              <w:left w:val="nil"/>
              <w:bottom w:val="single" w:sz="4" w:space="0" w:color="BFBFBF"/>
              <w:right w:val="double" w:sz="6" w:space="0" w:color="808080"/>
            </w:tcBorders>
            <w:shd w:val="clear" w:color="auto" w:fill="auto"/>
            <w:noWrap/>
            <w:vAlign w:val="bottom"/>
            <w:hideMark/>
          </w:tcPr>
          <w:p w14:paraId="5A9C62DF" w14:textId="77777777" w:rsidR="002C5185" w:rsidRPr="002C5185" w:rsidRDefault="002C5185" w:rsidP="002C5185">
            <w:pPr>
              <w:jc w:val="center"/>
              <w:rPr>
                <w:rFonts w:cs="Arial"/>
                <w:color w:val="000000"/>
                <w:sz w:val="20"/>
              </w:rPr>
            </w:pPr>
            <w:r w:rsidRPr="002C5185">
              <w:rPr>
                <w:rFonts w:cs="Arial"/>
                <w:color w:val="000000"/>
                <w:sz w:val="20"/>
              </w:rPr>
              <w:t>6%</w:t>
            </w:r>
          </w:p>
        </w:tc>
        <w:tc>
          <w:tcPr>
            <w:tcW w:w="1473" w:type="dxa"/>
            <w:tcBorders>
              <w:top w:val="nil"/>
              <w:left w:val="nil"/>
              <w:bottom w:val="single" w:sz="4" w:space="0" w:color="BFBFBF"/>
              <w:right w:val="single" w:sz="4" w:space="0" w:color="BFBFBF"/>
            </w:tcBorders>
            <w:shd w:val="clear" w:color="auto" w:fill="auto"/>
            <w:noWrap/>
            <w:vAlign w:val="bottom"/>
            <w:hideMark/>
          </w:tcPr>
          <w:p w14:paraId="3C89EB5D" w14:textId="77777777" w:rsidR="002C5185" w:rsidRPr="002C5185" w:rsidRDefault="002C5185" w:rsidP="002C5185">
            <w:pPr>
              <w:jc w:val="center"/>
              <w:rPr>
                <w:rFonts w:cs="Arial"/>
                <w:color w:val="000000"/>
                <w:sz w:val="20"/>
              </w:rPr>
            </w:pPr>
            <w:r w:rsidRPr="002C5185">
              <w:rPr>
                <w:rFonts w:cs="Arial"/>
                <w:color w:val="000000"/>
                <w:sz w:val="20"/>
              </w:rPr>
              <w:t>171.1</w:t>
            </w:r>
          </w:p>
        </w:tc>
        <w:tc>
          <w:tcPr>
            <w:tcW w:w="1102" w:type="dxa"/>
            <w:tcBorders>
              <w:top w:val="nil"/>
              <w:left w:val="nil"/>
              <w:bottom w:val="single" w:sz="4" w:space="0" w:color="BFBFBF"/>
              <w:right w:val="single" w:sz="4" w:space="0" w:color="BFBFBF"/>
            </w:tcBorders>
            <w:shd w:val="clear" w:color="auto" w:fill="auto"/>
            <w:noWrap/>
            <w:vAlign w:val="bottom"/>
            <w:hideMark/>
          </w:tcPr>
          <w:p w14:paraId="12172D46" w14:textId="77777777" w:rsidR="002C5185" w:rsidRPr="002C5185" w:rsidRDefault="002C5185" w:rsidP="002C5185">
            <w:pPr>
              <w:jc w:val="center"/>
              <w:rPr>
                <w:rFonts w:cs="Arial"/>
                <w:color w:val="000000"/>
                <w:sz w:val="20"/>
              </w:rPr>
            </w:pPr>
            <w:r w:rsidRPr="002C5185">
              <w:rPr>
                <w:rFonts w:cs="Arial"/>
                <w:color w:val="000000"/>
                <w:sz w:val="20"/>
              </w:rPr>
              <w:t>205.0</w:t>
            </w:r>
          </w:p>
        </w:tc>
        <w:tc>
          <w:tcPr>
            <w:tcW w:w="1416" w:type="dxa"/>
            <w:tcBorders>
              <w:top w:val="nil"/>
              <w:left w:val="nil"/>
              <w:bottom w:val="single" w:sz="4" w:space="0" w:color="BFBFBF"/>
              <w:right w:val="double" w:sz="6" w:space="0" w:color="808080"/>
            </w:tcBorders>
            <w:shd w:val="clear" w:color="auto" w:fill="auto"/>
            <w:noWrap/>
            <w:vAlign w:val="bottom"/>
            <w:hideMark/>
          </w:tcPr>
          <w:p w14:paraId="1E308BC8" w14:textId="77777777" w:rsidR="002C5185" w:rsidRPr="002C5185" w:rsidRDefault="002C5185" w:rsidP="002C5185">
            <w:pPr>
              <w:jc w:val="center"/>
              <w:rPr>
                <w:rFonts w:cs="Arial"/>
                <w:color w:val="000000"/>
                <w:sz w:val="20"/>
              </w:rPr>
            </w:pPr>
            <w:r w:rsidRPr="002C5185">
              <w:rPr>
                <w:rFonts w:cs="Arial"/>
                <w:color w:val="000000"/>
                <w:sz w:val="20"/>
              </w:rPr>
              <w:t>83%</w:t>
            </w:r>
          </w:p>
        </w:tc>
        <w:tc>
          <w:tcPr>
            <w:tcW w:w="1036" w:type="dxa"/>
            <w:tcBorders>
              <w:top w:val="nil"/>
              <w:left w:val="nil"/>
              <w:bottom w:val="single" w:sz="4" w:space="0" w:color="BFBFBF"/>
              <w:right w:val="single" w:sz="4" w:space="0" w:color="BFBFBF"/>
            </w:tcBorders>
            <w:shd w:val="clear" w:color="auto" w:fill="auto"/>
            <w:noWrap/>
            <w:vAlign w:val="bottom"/>
            <w:hideMark/>
          </w:tcPr>
          <w:p w14:paraId="476F37B8" w14:textId="77777777" w:rsidR="002C5185" w:rsidRPr="002C5185" w:rsidRDefault="002C5185" w:rsidP="002C5185">
            <w:pPr>
              <w:jc w:val="center"/>
              <w:rPr>
                <w:rFonts w:cs="Arial"/>
                <w:color w:val="000000"/>
                <w:sz w:val="20"/>
              </w:rPr>
            </w:pPr>
            <w:r w:rsidRPr="002C5185">
              <w:rPr>
                <w:rFonts w:cs="Arial"/>
                <w:color w:val="000000"/>
                <w:sz w:val="20"/>
              </w:rPr>
              <w:t>205.0</w:t>
            </w:r>
          </w:p>
        </w:tc>
        <w:tc>
          <w:tcPr>
            <w:tcW w:w="1136" w:type="dxa"/>
            <w:tcBorders>
              <w:top w:val="nil"/>
              <w:left w:val="nil"/>
              <w:bottom w:val="single" w:sz="4" w:space="0" w:color="BFBFBF"/>
              <w:right w:val="single" w:sz="4" w:space="0" w:color="BFBFBF"/>
            </w:tcBorders>
            <w:shd w:val="clear" w:color="auto" w:fill="auto"/>
            <w:noWrap/>
            <w:vAlign w:val="bottom"/>
            <w:hideMark/>
          </w:tcPr>
          <w:p w14:paraId="10B9734D" w14:textId="77777777" w:rsidR="002C5185" w:rsidRPr="002C5185" w:rsidRDefault="002C5185" w:rsidP="002C5185">
            <w:pPr>
              <w:jc w:val="center"/>
              <w:rPr>
                <w:rFonts w:cs="Arial"/>
                <w:color w:val="000000"/>
                <w:sz w:val="20"/>
              </w:rPr>
            </w:pPr>
            <w:r w:rsidRPr="002C5185">
              <w:rPr>
                <w:rFonts w:cs="Arial"/>
                <w:color w:val="000000"/>
                <w:sz w:val="20"/>
              </w:rPr>
              <w:t>2129.0</w:t>
            </w:r>
          </w:p>
        </w:tc>
        <w:tc>
          <w:tcPr>
            <w:tcW w:w="1416" w:type="dxa"/>
            <w:tcBorders>
              <w:top w:val="nil"/>
              <w:left w:val="nil"/>
              <w:bottom w:val="single" w:sz="4" w:space="0" w:color="BFBFBF"/>
              <w:right w:val="single" w:sz="4" w:space="0" w:color="BFBFBF"/>
            </w:tcBorders>
            <w:shd w:val="clear" w:color="auto" w:fill="auto"/>
            <w:noWrap/>
            <w:vAlign w:val="bottom"/>
            <w:hideMark/>
          </w:tcPr>
          <w:p w14:paraId="35890234" w14:textId="77777777" w:rsidR="002C5185" w:rsidRPr="002C5185" w:rsidRDefault="002C5185" w:rsidP="002C5185">
            <w:pPr>
              <w:jc w:val="center"/>
              <w:rPr>
                <w:rFonts w:cs="Arial"/>
                <w:color w:val="000000"/>
                <w:sz w:val="20"/>
              </w:rPr>
            </w:pPr>
            <w:r w:rsidRPr="002C5185">
              <w:rPr>
                <w:rFonts w:cs="Arial"/>
                <w:color w:val="000000"/>
                <w:sz w:val="20"/>
              </w:rPr>
              <w:t>10%</w:t>
            </w:r>
          </w:p>
        </w:tc>
      </w:tr>
      <w:tr w:rsidR="002C5185" w:rsidRPr="002C5185" w14:paraId="5BC6E4C4" w14:textId="77777777" w:rsidTr="002C5185">
        <w:trPr>
          <w:trHeight w:val="255"/>
        </w:trPr>
        <w:tc>
          <w:tcPr>
            <w:tcW w:w="1357" w:type="dxa"/>
            <w:tcBorders>
              <w:top w:val="nil"/>
              <w:left w:val="single" w:sz="4" w:space="0" w:color="BFBFBF"/>
              <w:bottom w:val="single" w:sz="4" w:space="0" w:color="BFBFBF"/>
              <w:right w:val="single" w:sz="4" w:space="0" w:color="BFBFBF"/>
            </w:tcBorders>
            <w:shd w:val="clear" w:color="auto" w:fill="auto"/>
            <w:noWrap/>
            <w:vAlign w:val="bottom"/>
            <w:hideMark/>
          </w:tcPr>
          <w:p w14:paraId="2B3E8973" w14:textId="77777777" w:rsidR="002C5185" w:rsidRPr="002C5185" w:rsidRDefault="002C5185" w:rsidP="002C5185">
            <w:pPr>
              <w:jc w:val="center"/>
              <w:rPr>
                <w:rFonts w:cs="Arial"/>
                <w:color w:val="000000"/>
                <w:sz w:val="20"/>
              </w:rPr>
            </w:pPr>
            <w:r w:rsidRPr="002C5185">
              <w:rPr>
                <w:rFonts w:cs="Arial"/>
                <w:color w:val="000000"/>
                <w:sz w:val="20"/>
              </w:rPr>
              <w:t>13/03/2014</w:t>
            </w:r>
          </w:p>
        </w:tc>
        <w:tc>
          <w:tcPr>
            <w:tcW w:w="1136" w:type="dxa"/>
            <w:tcBorders>
              <w:top w:val="nil"/>
              <w:left w:val="nil"/>
              <w:bottom w:val="single" w:sz="4" w:space="0" w:color="BFBFBF"/>
              <w:right w:val="single" w:sz="4" w:space="0" w:color="BFBFBF"/>
            </w:tcBorders>
            <w:shd w:val="clear" w:color="auto" w:fill="auto"/>
            <w:noWrap/>
            <w:vAlign w:val="bottom"/>
            <w:hideMark/>
          </w:tcPr>
          <w:p w14:paraId="192BC3C4" w14:textId="77777777" w:rsidR="002C5185" w:rsidRPr="002C5185" w:rsidRDefault="002C5185" w:rsidP="002C5185">
            <w:pPr>
              <w:jc w:val="center"/>
              <w:rPr>
                <w:rFonts w:cs="Arial"/>
                <w:color w:val="000000"/>
                <w:sz w:val="20"/>
              </w:rPr>
            </w:pPr>
            <w:r w:rsidRPr="002C5185">
              <w:rPr>
                <w:rFonts w:cs="Arial"/>
                <w:color w:val="000000"/>
                <w:sz w:val="20"/>
              </w:rPr>
              <w:t>37</w:t>
            </w:r>
          </w:p>
        </w:tc>
        <w:tc>
          <w:tcPr>
            <w:tcW w:w="1100" w:type="dxa"/>
            <w:tcBorders>
              <w:top w:val="nil"/>
              <w:left w:val="nil"/>
              <w:bottom w:val="single" w:sz="4" w:space="0" w:color="BFBFBF"/>
              <w:right w:val="single" w:sz="4" w:space="0" w:color="BFBFBF"/>
            </w:tcBorders>
            <w:shd w:val="clear" w:color="auto" w:fill="auto"/>
            <w:noWrap/>
            <w:vAlign w:val="bottom"/>
            <w:hideMark/>
          </w:tcPr>
          <w:p w14:paraId="3F01F884" w14:textId="77777777" w:rsidR="002C5185" w:rsidRPr="002C5185" w:rsidRDefault="002C5185" w:rsidP="002C5185">
            <w:pPr>
              <w:jc w:val="center"/>
              <w:rPr>
                <w:rFonts w:cs="Arial"/>
                <w:color w:val="000000"/>
                <w:sz w:val="20"/>
              </w:rPr>
            </w:pPr>
            <w:r w:rsidRPr="002C5185">
              <w:rPr>
                <w:rFonts w:cs="Arial"/>
                <w:color w:val="000000"/>
                <w:sz w:val="20"/>
              </w:rPr>
              <w:t>6.0</w:t>
            </w:r>
          </w:p>
        </w:tc>
        <w:tc>
          <w:tcPr>
            <w:tcW w:w="1102" w:type="dxa"/>
            <w:tcBorders>
              <w:top w:val="nil"/>
              <w:left w:val="nil"/>
              <w:bottom w:val="single" w:sz="4" w:space="0" w:color="BFBFBF"/>
              <w:right w:val="single" w:sz="4" w:space="0" w:color="BFBFBF"/>
            </w:tcBorders>
            <w:shd w:val="clear" w:color="auto" w:fill="auto"/>
            <w:noWrap/>
            <w:vAlign w:val="bottom"/>
            <w:hideMark/>
          </w:tcPr>
          <w:p w14:paraId="49A7B047" w14:textId="77777777" w:rsidR="002C5185" w:rsidRPr="002C5185" w:rsidRDefault="002C5185" w:rsidP="002C5185">
            <w:pPr>
              <w:jc w:val="center"/>
              <w:rPr>
                <w:rFonts w:cs="Arial"/>
                <w:color w:val="000000"/>
                <w:sz w:val="20"/>
              </w:rPr>
            </w:pPr>
            <w:r w:rsidRPr="002C5185">
              <w:rPr>
                <w:rFonts w:cs="Arial"/>
                <w:color w:val="000000"/>
                <w:sz w:val="20"/>
              </w:rPr>
              <w:t>49.0</w:t>
            </w:r>
          </w:p>
        </w:tc>
        <w:tc>
          <w:tcPr>
            <w:tcW w:w="1386" w:type="dxa"/>
            <w:tcBorders>
              <w:top w:val="nil"/>
              <w:left w:val="nil"/>
              <w:bottom w:val="single" w:sz="4" w:space="0" w:color="BFBFBF"/>
              <w:right w:val="double" w:sz="6" w:space="0" w:color="808080"/>
            </w:tcBorders>
            <w:shd w:val="clear" w:color="auto" w:fill="auto"/>
            <w:noWrap/>
            <w:vAlign w:val="bottom"/>
            <w:hideMark/>
          </w:tcPr>
          <w:p w14:paraId="412262D8" w14:textId="77777777" w:rsidR="002C5185" w:rsidRPr="002C5185" w:rsidRDefault="002C5185" w:rsidP="002C5185">
            <w:pPr>
              <w:jc w:val="center"/>
              <w:rPr>
                <w:rFonts w:cs="Arial"/>
                <w:color w:val="000000"/>
                <w:sz w:val="20"/>
              </w:rPr>
            </w:pPr>
            <w:r w:rsidRPr="002C5185">
              <w:rPr>
                <w:rFonts w:cs="Arial"/>
                <w:color w:val="000000"/>
                <w:sz w:val="20"/>
              </w:rPr>
              <w:t>12%</w:t>
            </w:r>
          </w:p>
        </w:tc>
        <w:tc>
          <w:tcPr>
            <w:tcW w:w="1473" w:type="dxa"/>
            <w:tcBorders>
              <w:top w:val="nil"/>
              <w:left w:val="nil"/>
              <w:bottom w:val="single" w:sz="4" w:space="0" w:color="BFBFBF"/>
              <w:right w:val="single" w:sz="4" w:space="0" w:color="BFBFBF"/>
            </w:tcBorders>
            <w:shd w:val="clear" w:color="auto" w:fill="auto"/>
            <w:noWrap/>
            <w:vAlign w:val="bottom"/>
            <w:hideMark/>
          </w:tcPr>
          <w:p w14:paraId="5F36C425" w14:textId="77777777" w:rsidR="002C5185" w:rsidRPr="002C5185" w:rsidRDefault="002C5185" w:rsidP="002C5185">
            <w:pPr>
              <w:jc w:val="center"/>
              <w:rPr>
                <w:rFonts w:cs="Arial"/>
                <w:color w:val="000000"/>
                <w:sz w:val="20"/>
              </w:rPr>
            </w:pPr>
            <w:r w:rsidRPr="002C5185">
              <w:rPr>
                <w:rFonts w:cs="Arial"/>
                <w:color w:val="000000"/>
                <w:sz w:val="20"/>
              </w:rPr>
              <w:t>67.4</w:t>
            </w:r>
          </w:p>
        </w:tc>
        <w:tc>
          <w:tcPr>
            <w:tcW w:w="1102" w:type="dxa"/>
            <w:tcBorders>
              <w:top w:val="nil"/>
              <w:left w:val="nil"/>
              <w:bottom w:val="single" w:sz="4" w:space="0" w:color="BFBFBF"/>
              <w:right w:val="single" w:sz="4" w:space="0" w:color="BFBFBF"/>
            </w:tcBorders>
            <w:shd w:val="clear" w:color="auto" w:fill="auto"/>
            <w:noWrap/>
            <w:vAlign w:val="bottom"/>
            <w:hideMark/>
          </w:tcPr>
          <w:p w14:paraId="530FAAD0" w14:textId="77777777" w:rsidR="002C5185" w:rsidRPr="002C5185" w:rsidRDefault="002C5185" w:rsidP="002C5185">
            <w:pPr>
              <w:jc w:val="center"/>
              <w:rPr>
                <w:rFonts w:cs="Arial"/>
                <w:color w:val="000000"/>
                <w:sz w:val="20"/>
              </w:rPr>
            </w:pPr>
            <w:r w:rsidRPr="002C5185">
              <w:rPr>
                <w:rFonts w:cs="Arial"/>
                <w:color w:val="000000"/>
                <w:sz w:val="20"/>
              </w:rPr>
              <w:t>83.0</w:t>
            </w:r>
          </w:p>
        </w:tc>
        <w:tc>
          <w:tcPr>
            <w:tcW w:w="1416" w:type="dxa"/>
            <w:tcBorders>
              <w:top w:val="nil"/>
              <w:left w:val="nil"/>
              <w:bottom w:val="single" w:sz="4" w:space="0" w:color="BFBFBF"/>
              <w:right w:val="double" w:sz="6" w:space="0" w:color="808080"/>
            </w:tcBorders>
            <w:shd w:val="clear" w:color="auto" w:fill="auto"/>
            <w:noWrap/>
            <w:vAlign w:val="bottom"/>
            <w:hideMark/>
          </w:tcPr>
          <w:p w14:paraId="1B18D292" w14:textId="77777777" w:rsidR="002C5185" w:rsidRPr="002C5185" w:rsidRDefault="002C5185" w:rsidP="002C5185">
            <w:pPr>
              <w:jc w:val="center"/>
              <w:rPr>
                <w:rFonts w:cs="Arial"/>
                <w:color w:val="000000"/>
                <w:sz w:val="20"/>
              </w:rPr>
            </w:pPr>
            <w:r w:rsidRPr="002C5185">
              <w:rPr>
                <w:rFonts w:cs="Arial"/>
                <w:color w:val="000000"/>
                <w:sz w:val="20"/>
              </w:rPr>
              <w:t>81%</w:t>
            </w:r>
          </w:p>
        </w:tc>
        <w:tc>
          <w:tcPr>
            <w:tcW w:w="1036" w:type="dxa"/>
            <w:tcBorders>
              <w:top w:val="nil"/>
              <w:left w:val="nil"/>
              <w:bottom w:val="single" w:sz="4" w:space="0" w:color="BFBFBF"/>
              <w:right w:val="single" w:sz="4" w:space="0" w:color="BFBFBF"/>
            </w:tcBorders>
            <w:shd w:val="clear" w:color="auto" w:fill="auto"/>
            <w:noWrap/>
            <w:vAlign w:val="bottom"/>
            <w:hideMark/>
          </w:tcPr>
          <w:p w14:paraId="2252D8D3" w14:textId="77777777" w:rsidR="002C5185" w:rsidRPr="002C5185" w:rsidRDefault="002C5185" w:rsidP="002C5185">
            <w:pPr>
              <w:jc w:val="center"/>
              <w:rPr>
                <w:rFonts w:cs="Arial"/>
                <w:color w:val="000000"/>
                <w:sz w:val="20"/>
              </w:rPr>
            </w:pPr>
            <w:r w:rsidRPr="002C5185">
              <w:rPr>
                <w:rFonts w:cs="Arial"/>
                <w:color w:val="000000"/>
                <w:sz w:val="20"/>
              </w:rPr>
              <w:t>83.0</w:t>
            </w:r>
          </w:p>
        </w:tc>
        <w:tc>
          <w:tcPr>
            <w:tcW w:w="1136" w:type="dxa"/>
            <w:tcBorders>
              <w:top w:val="nil"/>
              <w:left w:val="nil"/>
              <w:bottom w:val="single" w:sz="4" w:space="0" w:color="BFBFBF"/>
              <w:right w:val="single" w:sz="4" w:space="0" w:color="BFBFBF"/>
            </w:tcBorders>
            <w:shd w:val="clear" w:color="auto" w:fill="auto"/>
            <w:noWrap/>
            <w:vAlign w:val="bottom"/>
            <w:hideMark/>
          </w:tcPr>
          <w:p w14:paraId="5F54C974" w14:textId="77777777" w:rsidR="002C5185" w:rsidRPr="002C5185" w:rsidRDefault="002C5185" w:rsidP="002C5185">
            <w:pPr>
              <w:jc w:val="center"/>
              <w:rPr>
                <w:rFonts w:cs="Arial"/>
                <w:color w:val="000000"/>
                <w:sz w:val="20"/>
              </w:rPr>
            </w:pPr>
            <w:r w:rsidRPr="002C5185">
              <w:rPr>
                <w:rFonts w:cs="Arial"/>
                <w:color w:val="000000"/>
                <w:sz w:val="20"/>
              </w:rPr>
              <w:t>509.0</w:t>
            </w:r>
          </w:p>
        </w:tc>
        <w:tc>
          <w:tcPr>
            <w:tcW w:w="1416" w:type="dxa"/>
            <w:tcBorders>
              <w:top w:val="nil"/>
              <w:left w:val="nil"/>
              <w:bottom w:val="single" w:sz="4" w:space="0" w:color="BFBFBF"/>
              <w:right w:val="single" w:sz="4" w:space="0" w:color="BFBFBF"/>
            </w:tcBorders>
            <w:shd w:val="clear" w:color="auto" w:fill="auto"/>
            <w:noWrap/>
            <w:vAlign w:val="bottom"/>
            <w:hideMark/>
          </w:tcPr>
          <w:p w14:paraId="52C146D3" w14:textId="77777777" w:rsidR="002C5185" w:rsidRPr="002C5185" w:rsidRDefault="002C5185" w:rsidP="002C5185">
            <w:pPr>
              <w:jc w:val="center"/>
              <w:rPr>
                <w:rFonts w:cs="Arial"/>
                <w:color w:val="000000"/>
                <w:sz w:val="20"/>
              </w:rPr>
            </w:pPr>
            <w:r w:rsidRPr="002C5185">
              <w:rPr>
                <w:rFonts w:cs="Arial"/>
                <w:color w:val="000000"/>
                <w:sz w:val="20"/>
              </w:rPr>
              <w:t>16%</w:t>
            </w:r>
          </w:p>
        </w:tc>
      </w:tr>
      <w:tr w:rsidR="002C5185" w:rsidRPr="002C5185" w14:paraId="1A522B4A" w14:textId="77777777" w:rsidTr="002C5185">
        <w:trPr>
          <w:trHeight w:val="255"/>
        </w:trPr>
        <w:tc>
          <w:tcPr>
            <w:tcW w:w="1357" w:type="dxa"/>
            <w:tcBorders>
              <w:top w:val="nil"/>
              <w:left w:val="single" w:sz="4" w:space="0" w:color="BFBFBF"/>
              <w:bottom w:val="single" w:sz="4" w:space="0" w:color="BFBFBF"/>
              <w:right w:val="single" w:sz="4" w:space="0" w:color="BFBFBF"/>
            </w:tcBorders>
            <w:shd w:val="clear" w:color="auto" w:fill="auto"/>
            <w:noWrap/>
            <w:vAlign w:val="bottom"/>
            <w:hideMark/>
          </w:tcPr>
          <w:p w14:paraId="7843246B" w14:textId="77777777" w:rsidR="002C5185" w:rsidRPr="002C5185" w:rsidRDefault="002C5185" w:rsidP="002C5185">
            <w:pPr>
              <w:jc w:val="center"/>
              <w:rPr>
                <w:rFonts w:cs="Arial"/>
                <w:color w:val="000000"/>
                <w:sz w:val="20"/>
              </w:rPr>
            </w:pPr>
            <w:r w:rsidRPr="002C5185">
              <w:rPr>
                <w:rFonts w:cs="Arial"/>
                <w:color w:val="000000"/>
                <w:sz w:val="20"/>
              </w:rPr>
              <w:t>14/04/2014</w:t>
            </w:r>
          </w:p>
        </w:tc>
        <w:tc>
          <w:tcPr>
            <w:tcW w:w="1136" w:type="dxa"/>
            <w:tcBorders>
              <w:top w:val="nil"/>
              <w:left w:val="nil"/>
              <w:bottom w:val="single" w:sz="4" w:space="0" w:color="BFBFBF"/>
              <w:right w:val="single" w:sz="4" w:space="0" w:color="BFBFBF"/>
            </w:tcBorders>
            <w:shd w:val="clear" w:color="auto" w:fill="auto"/>
            <w:noWrap/>
            <w:vAlign w:val="bottom"/>
            <w:hideMark/>
          </w:tcPr>
          <w:p w14:paraId="42D90852" w14:textId="77777777" w:rsidR="002C5185" w:rsidRPr="002C5185" w:rsidRDefault="002C5185" w:rsidP="002C5185">
            <w:pPr>
              <w:jc w:val="center"/>
              <w:rPr>
                <w:rFonts w:cs="Arial"/>
                <w:color w:val="000000"/>
                <w:sz w:val="20"/>
              </w:rPr>
            </w:pPr>
            <w:r w:rsidRPr="002C5185">
              <w:rPr>
                <w:rFonts w:cs="Arial"/>
                <w:color w:val="000000"/>
                <w:sz w:val="20"/>
              </w:rPr>
              <w:t>54</w:t>
            </w:r>
          </w:p>
        </w:tc>
        <w:tc>
          <w:tcPr>
            <w:tcW w:w="1100" w:type="dxa"/>
            <w:tcBorders>
              <w:top w:val="nil"/>
              <w:left w:val="nil"/>
              <w:bottom w:val="single" w:sz="4" w:space="0" w:color="BFBFBF"/>
              <w:right w:val="single" w:sz="4" w:space="0" w:color="BFBFBF"/>
            </w:tcBorders>
            <w:shd w:val="clear" w:color="auto" w:fill="auto"/>
            <w:noWrap/>
            <w:vAlign w:val="bottom"/>
            <w:hideMark/>
          </w:tcPr>
          <w:p w14:paraId="1B20F78D" w14:textId="77777777" w:rsidR="002C5185" w:rsidRPr="002C5185" w:rsidRDefault="002C5185" w:rsidP="002C5185">
            <w:pPr>
              <w:jc w:val="center"/>
              <w:rPr>
                <w:rFonts w:cs="Arial"/>
                <w:color w:val="000000"/>
                <w:sz w:val="20"/>
              </w:rPr>
            </w:pPr>
            <w:r w:rsidRPr="002C5185">
              <w:rPr>
                <w:rFonts w:cs="Arial"/>
                <w:color w:val="000000"/>
                <w:sz w:val="20"/>
              </w:rPr>
              <w:t>7.0</w:t>
            </w:r>
          </w:p>
        </w:tc>
        <w:tc>
          <w:tcPr>
            <w:tcW w:w="1102" w:type="dxa"/>
            <w:tcBorders>
              <w:top w:val="nil"/>
              <w:left w:val="nil"/>
              <w:bottom w:val="single" w:sz="4" w:space="0" w:color="BFBFBF"/>
              <w:right w:val="single" w:sz="4" w:space="0" w:color="BFBFBF"/>
            </w:tcBorders>
            <w:shd w:val="clear" w:color="auto" w:fill="auto"/>
            <w:noWrap/>
            <w:vAlign w:val="bottom"/>
            <w:hideMark/>
          </w:tcPr>
          <w:p w14:paraId="5AC593D1" w14:textId="77777777" w:rsidR="002C5185" w:rsidRPr="002C5185" w:rsidRDefault="002C5185" w:rsidP="002C5185">
            <w:pPr>
              <w:jc w:val="center"/>
              <w:rPr>
                <w:rFonts w:cs="Arial"/>
                <w:color w:val="000000"/>
                <w:sz w:val="20"/>
              </w:rPr>
            </w:pPr>
            <w:r w:rsidRPr="002C5185">
              <w:rPr>
                <w:rFonts w:cs="Arial"/>
                <w:color w:val="000000"/>
                <w:sz w:val="20"/>
              </w:rPr>
              <w:t>53.0</w:t>
            </w:r>
          </w:p>
        </w:tc>
        <w:tc>
          <w:tcPr>
            <w:tcW w:w="1386" w:type="dxa"/>
            <w:tcBorders>
              <w:top w:val="nil"/>
              <w:left w:val="nil"/>
              <w:bottom w:val="single" w:sz="4" w:space="0" w:color="BFBFBF"/>
              <w:right w:val="double" w:sz="6" w:space="0" w:color="808080"/>
            </w:tcBorders>
            <w:shd w:val="clear" w:color="auto" w:fill="auto"/>
            <w:noWrap/>
            <w:vAlign w:val="bottom"/>
            <w:hideMark/>
          </w:tcPr>
          <w:p w14:paraId="68C4B096" w14:textId="77777777" w:rsidR="002C5185" w:rsidRPr="002C5185" w:rsidRDefault="002C5185" w:rsidP="002C5185">
            <w:pPr>
              <w:jc w:val="center"/>
              <w:rPr>
                <w:rFonts w:cs="Arial"/>
                <w:color w:val="000000"/>
                <w:sz w:val="20"/>
              </w:rPr>
            </w:pPr>
            <w:r w:rsidRPr="002C5185">
              <w:rPr>
                <w:rFonts w:cs="Arial"/>
                <w:color w:val="000000"/>
                <w:sz w:val="20"/>
              </w:rPr>
              <w:t>13%</w:t>
            </w:r>
          </w:p>
        </w:tc>
        <w:tc>
          <w:tcPr>
            <w:tcW w:w="1473" w:type="dxa"/>
            <w:tcBorders>
              <w:top w:val="nil"/>
              <w:left w:val="nil"/>
              <w:bottom w:val="single" w:sz="4" w:space="0" w:color="BFBFBF"/>
              <w:right w:val="single" w:sz="4" w:space="0" w:color="BFBFBF"/>
            </w:tcBorders>
            <w:shd w:val="clear" w:color="auto" w:fill="auto"/>
            <w:noWrap/>
            <w:vAlign w:val="bottom"/>
            <w:hideMark/>
          </w:tcPr>
          <w:p w14:paraId="5CB74767" w14:textId="77777777" w:rsidR="002C5185" w:rsidRPr="002C5185" w:rsidRDefault="002C5185" w:rsidP="002C5185">
            <w:pPr>
              <w:jc w:val="center"/>
              <w:rPr>
                <w:rFonts w:cs="Arial"/>
                <w:color w:val="000000"/>
                <w:sz w:val="20"/>
              </w:rPr>
            </w:pPr>
            <w:r w:rsidRPr="002C5185">
              <w:rPr>
                <w:rFonts w:cs="Arial"/>
                <w:color w:val="000000"/>
                <w:sz w:val="20"/>
              </w:rPr>
              <w:t>75.0</w:t>
            </w:r>
          </w:p>
        </w:tc>
        <w:tc>
          <w:tcPr>
            <w:tcW w:w="1102" w:type="dxa"/>
            <w:tcBorders>
              <w:top w:val="nil"/>
              <w:left w:val="nil"/>
              <w:bottom w:val="single" w:sz="4" w:space="0" w:color="BFBFBF"/>
              <w:right w:val="single" w:sz="4" w:space="0" w:color="BFBFBF"/>
            </w:tcBorders>
            <w:shd w:val="clear" w:color="auto" w:fill="auto"/>
            <w:noWrap/>
            <w:vAlign w:val="bottom"/>
            <w:hideMark/>
          </w:tcPr>
          <w:p w14:paraId="7E3B1D3F" w14:textId="77777777" w:rsidR="002C5185" w:rsidRPr="002C5185" w:rsidRDefault="002C5185" w:rsidP="002C5185">
            <w:pPr>
              <w:jc w:val="center"/>
              <w:rPr>
                <w:rFonts w:cs="Arial"/>
                <w:color w:val="000000"/>
                <w:sz w:val="20"/>
              </w:rPr>
            </w:pPr>
            <w:r w:rsidRPr="002C5185">
              <w:rPr>
                <w:rFonts w:cs="Arial"/>
                <w:color w:val="000000"/>
                <w:sz w:val="20"/>
              </w:rPr>
              <w:t>75.0</w:t>
            </w:r>
          </w:p>
        </w:tc>
        <w:tc>
          <w:tcPr>
            <w:tcW w:w="1416" w:type="dxa"/>
            <w:tcBorders>
              <w:top w:val="nil"/>
              <w:left w:val="nil"/>
              <w:bottom w:val="single" w:sz="4" w:space="0" w:color="BFBFBF"/>
              <w:right w:val="double" w:sz="6" w:space="0" w:color="808080"/>
            </w:tcBorders>
            <w:shd w:val="clear" w:color="auto" w:fill="auto"/>
            <w:noWrap/>
            <w:vAlign w:val="bottom"/>
            <w:hideMark/>
          </w:tcPr>
          <w:p w14:paraId="3CDDEA21" w14:textId="77777777" w:rsidR="002C5185" w:rsidRPr="002C5185" w:rsidRDefault="002C5185" w:rsidP="002C5185">
            <w:pPr>
              <w:jc w:val="center"/>
              <w:rPr>
                <w:rFonts w:cs="Arial"/>
                <w:color w:val="000000"/>
                <w:sz w:val="20"/>
              </w:rPr>
            </w:pPr>
            <w:r w:rsidRPr="002C5185">
              <w:rPr>
                <w:rFonts w:cs="Arial"/>
                <w:color w:val="000000"/>
                <w:sz w:val="20"/>
              </w:rPr>
              <w:t>100%</w:t>
            </w:r>
          </w:p>
        </w:tc>
        <w:tc>
          <w:tcPr>
            <w:tcW w:w="1036" w:type="dxa"/>
            <w:tcBorders>
              <w:top w:val="nil"/>
              <w:left w:val="nil"/>
              <w:bottom w:val="single" w:sz="4" w:space="0" w:color="BFBFBF"/>
              <w:right w:val="single" w:sz="4" w:space="0" w:color="BFBFBF"/>
            </w:tcBorders>
            <w:shd w:val="clear" w:color="auto" w:fill="auto"/>
            <w:noWrap/>
            <w:vAlign w:val="bottom"/>
            <w:hideMark/>
          </w:tcPr>
          <w:p w14:paraId="286BD1BA" w14:textId="77777777" w:rsidR="002C5185" w:rsidRPr="002C5185" w:rsidRDefault="002C5185" w:rsidP="002C5185">
            <w:pPr>
              <w:jc w:val="center"/>
              <w:rPr>
                <w:rFonts w:cs="Arial"/>
                <w:color w:val="000000"/>
                <w:sz w:val="20"/>
              </w:rPr>
            </w:pPr>
            <w:r w:rsidRPr="002C5185">
              <w:rPr>
                <w:rFonts w:cs="Arial"/>
                <w:color w:val="000000"/>
                <w:sz w:val="20"/>
              </w:rPr>
              <w:t>75.0</w:t>
            </w:r>
          </w:p>
        </w:tc>
        <w:tc>
          <w:tcPr>
            <w:tcW w:w="1136" w:type="dxa"/>
            <w:tcBorders>
              <w:top w:val="nil"/>
              <w:left w:val="nil"/>
              <w:bottom w:val="single" w:sz="4" w:space="0" w:color="BFBFBF"/>
              <w:right w:val="single" w:sz="4" w:space="0" w:color="BFBFBF"/>
            </w:tcBorders>
            <w:shd w:val="clear" w:color="auto" w:fill="auto"/>
            <w:noWrap/>
            <w:vAlign w:val="bottom"/>
            <w:hideMark/>
          </w:tcPr>
          <w:p w14:paraId="4B5988F6" w14:textId="77777777" w:rsidR="002C5185" w:rsidRPr="002C5185" w:rsidRDefault="002C5185" w:rsidP="002C5185">
            <w:pPr>
              <w:jc w:val="center"/>
              <w:rPr>
                <w:rFonts w:cs="Arial"/>
                <w:color w:val="000000"/>
                <w:sz w:val="20"/>
              </w:rPr>
            </w:pPr>
            <w:r w:rsidRPr="002C5185">
              <w:rPr>
                <w:rFonts w:cs="Arial"/>
                <w:color w:val="000000"/>
                <w:sz w:val="20"/>
              </w:rPr>
              <w:t>579.0</w:t>
            </w:r>
          </w:p>
        </w:tc>
        <w:tc>
          <w:tcPr>
            <w:tcW w:w="1416" w:type="dxa"/>
            <w:tcBorders>
              <w:top w:val="nil"/>
              <w:left w:val="nil"/>
              <w:bottom w:val="single" w:sz="4" w:space="0" w:color="BFBFBF"/>
              <w:right w:val="single" w:sz="4" w:space="0" w:color="BFBFBF"/>
            </w:tcBorders>
            <w:shd w:val="clear" w:color="auto" w:fill="auto"/>
            <w:noWrap/>
            <w:vAlign w:val="bottom"/>
            <w:hideMark/>
          </w:tcPr>
          <w:p w14:paraId="44E82EA4" w14:textId="77777777" w:rsidR="002C5185" w:rsidRPr="002C5185" w:rsidRDefault="002C5185" w:rsidP="002C5185">
            <w:pPr>
              <w:jc w:val="center"/>
              <w:rPr>
                <w:rFonts w:cs="Arial"/>
                <w:color w:val="000000"/>
                <w:sz w:val="20"/>
              </w:rPr>
            </w:pPr>
            <w:r w:rsidRPr="002C5185">
              <w:rPr>
                <w:rFonts w:cs="Arial"/>
                <w:color w:val="000000"/>
                <w:sz w:val="20"/>
              </w:rPr>
              <w:t>13%</w:t>
            </w:r>
          </w:p>
        </w:tc>
      </w:tr>
      <w:tr w:rsidR="002C5185" w:rsidRPr="002C5185" w14:paraId="59D16905" w14:textId="77777777" w:rsidTr="002C5185">
        <w:trPr>
          <w:trHeight w:val="255"/>
        </w:trPr>
        <w:tc>
          <w:tcPr>
            <w:tcW w:w="1357" w:type="dxa"/>
            <w:tcBorders>
              <w:top w:val="nil"/>
              <w:left w:val="single" w:sz="4" w:space="0" w:color="BFBFBF"/>
              <w:bottom w:val="single" w:sz="4" w:space="0" w:color="BFBFBF"/>
              <w:right w:val="single" w:sz="4" w:space="0" w:color="BFBFBF"/>
            </w:tcBorders>
            <w:shd w:val="clear" w:color="auto" w:fill="auto"/>
            <w:noWrap/>
            <w:vAlign w:val="bottom"/>
            <w:hideMark/>
          </w:tcPr>
          <w:p w14:paraId="5D5363F6" w14:textId="77777777" w:rsidR="002C5185" w:rsidRPr="002C5185" w:rsidRDefault="002C5185" w:rsidP="002C5185">
            <w:pPr>
              <w:jc w:val="center"/>
              <w:rPr>
                <w:rFonts w:cs="Arial"/>
                <w:color w:val="000000"/>
                <w:sz w:val="20"/>
              </w:rPr>
            </w:pPr>
            <w:r w:rsidRPr="002C5185">
              <w:rPr>
                <w:rFonts w:cs="Arial"/>
                <w:color w:val="000000"/>
                <w:sz w:val="20"/>
              </w:rPr>
              <w:t>07/05/2014</w:t>
            </w:r>
          </w:p>
        </w:tc>
        <w:tc>
          <w:tcPr>
            <w:tcW w:w="1136" w:type="dxa"/>
            <w:tcBorders>
              <w:top w:val="nil"/>
              <w:left w:val="nil"/>
              <w:bottom w:val="single" w:sz="4" w:space="0" w:color="BFBFBF"/>
              <w:right w:val="single" w:sz="4" w:space="0" w:color="BFBFBF"/>
            </w:tcBorders>
            <w:shd w:val="clear" w:color="auto" w:fill="auto"/>
            <w:noWrap/>
            <w:vAlign w:val="bottom"/>
            <w:hideMark/>
          </w:tcPr>
          <w:p w14:paraId="632EC967" w14:textId="77777777" w:rsidR="002C5185" w:rsidRPr="002C5185" w:rsidRDefault="002C5185" w:rsidP="002C5185">
            <w:pPr>
              <w:jc w:val="center"/>
              <w:rPr>
                <w:rFonts w:cs="Arial"/>
                <w:color w:val="000000"/>
                <w:sz w:val="20"/>
              </w:rPr>
            </w:pPr>
            <w:r w:rsidRPr="002C5185">
              <w:rPr>
                <w:rFonts w:cs="Arial"/>
                <w:color w:val="000000"/>
                <w:sz w:val="20"/>
              </w:rPr>
              <w:t>55</w:t>
            </w:r>
          </w:p>
        </w:tc>
        <w:tc>
          <w:tcPr>
            <w:tcW w:w="1100" w:type="dxa"/>
            <w:tcBorders>
              <w:top w:val="nil"/>
              <w:left w:val="nil"/>
              <w:bottom w:val="single" w:sz="4" w:space="0" w:color="BFBFBF"/>
              <w:right w:val="single" w:sz="4" w:space="0" w:color="BFBFBF"/>
            </w:tcBorders>
            <w:shd w:val="clear" w:color="auto" w:fill="auto"/>
            <w:noWrap/>
            <w:vAlign w:val="bottom"/>
            <w:hideMark/>
          </w:tcPr>
          <w:p w14:paraId="14F169FC" w14:textId="77777777" w:rsidR="002C5185" w:rsidRPr="002C5185" w:rsidRDefault="002C5185" w:rsidP="002C5185">
            <w:pPr>
              <w:jc w:val="center"/>
              <w:rPr>
                <w:rFonts w:cs="Arial"/>
                <w:color w:val="000000"/>
                <w:sz w:val="20"/>
              </w:rPr>
            </w:pPr>
            <w:r w:rsidRPr="002C5185">
              <w:rPr>
                <w:rFonts w:cs="Arial"/>
                <w:color w:val="000000"/>
                <w:sz w:val="20"/>
              </w:rPr>
              <w:t>7.0</w:t>
            </w:r>
          </w:p>
        </w:tc>
        <w:tc>
          <w:tcPr>
            <w:tcW w:w="1102" w:type="dxa"/>
            <w:tcBorders>
              <w:top w:val="nil"/>
              <w:left w:val="nil"/>
              <w:bottom w:val="single" w:sz="4" w:space="0" w:color="BFBFBF"/>
              <w:right w:val="single" w:sz="4" w:space="0" w:color="BFBFBF"/>
            </w:tcBorders>
            <w:shd w:val="clear" w:color="auto" w:fill="auto"/>
            <w:noWrap/>
            <w:vAlign w:val="bottom"/>
            <w:hideMark/>
          </w:tcPr>
          <w:p w14:paraId="0C7B9BCD" w14:textId="77777777" w:rsidR="002C5185" w:rsidRPr="002C5185" w:rsidRDefault="002C5185" w:rsidP="002C5185">
            <w:pPr>
              <w:jc w:val="center"/>
              <w:rPr>
                <w:rFonts w:cs="Arial"/>
                <w:color w:val="000000"/>
                <w:sz w:val="20"/>
              </w:rPr>
            </w:pPr>
            <w:r w:rsidRPr="002C5185">
              <w:rPr>
                <w:rFonts w:cs="Arial"/>
                <w:color w:val="000000"/>
                <w:sz w:val="20"/>
              </w:rPr>
              <w:t>53.0</w:t>
            </w:r>
          </w:p>
        </w:tc>
        <w:tc>
          <w:tcPr>
            <w:tcW w:w="1386" w:type="dxa"/>
            <w:tcBorders>
              <w:top w:val="nil"/>
              <w:left w:val="nil"/>
              <w:bottom w:val="single" w:sz="4" w:space="0" w:color="BFBFBF"/>
              <w:right w:val="double" w:sz="6" w:space="0" w:color="808080"/>
            </w:tcBorders>
            <w:shd w:val="clear" w:color="auto" w:fill="auto"/>
            <w:noWrap/>
            <w:vAlign w:val="bottom"/>
            <w:hideMark/>
          </w:tcPr>
          <w:p w14:paraId="7D14C43C" w14:textId="77777777" w:rsidR="002C5185" w:rsidRPr="002C5185" w:rsidRDefault="002C5185" w:rsidP="002C5185">
            <w:pPr>
              <w:jc w:val="center"/>
              <w:rPr>
                <w:rFonts w:cs="Arial"/>
                <w:color w:val="000000"/>
                <w:sz w:val="20"/>
              </w:rPr>
            </w:pPr>
            <w:r w:rsidRPr="002C5185">
              <w:rPr>
                <w:rFonts w:cs="Arial"/>
                <w:color w:val="000000"/>
                <w:sz w:val="20"/>
              </w:rPr>
              <w:t>13%</w:t>
            </w:r>
          </w:p>
        </w:tc>
        <w:tc>
          <w:tcPr>
            <w:tcW w:w="1473" w:type="dxa"/>
            <w:tcBorders>
              <w:top w:val="nil"/>
              <w:left w:val="nil"/>
              <w:bottom w:val="single" w:sz="4" w:space="0" w:color="BFBFBF"/>
              <w:right w:val="single" w:sz="4" w:space="0" w:color="BFBFBF"/>
            </w:tcBorders>
            <w:shd w:val="clear" w:color="auto" w:fill="auto"/>
            <w:noWrap/>
            <w:vAlign w:val="bottom"/>
            <w:hideMark/>
          </w:tcPr>
          <w:p w14:paraId="20B93DEA" w14:textId="77777777" w:rsidR="002C5185" w:rsidRPr="002C5185" w:rsidRDefault="002C5185" w:rsidP="002C5185">
            <w:pPr>
              <w:jc w:val="center"/>
              <w:rPr>
                <w:rFonts w:cs="Arial"/>
                <w:color w:val="000000"/>
                <w:sz w:val="20"/>
              </w:rPr>
            </w:pPr>
            <w:r w:rsidRPr="002C5185">
              <w:rPr>
                <w:rFonts w:cs="Arial"/>
                <w:color w:val="000000"/>
                <w:sz w:val="20"/>
              </w:rPr>
              <w:t>71.1</w:t>
            </w:r>
          </w:p>
        </w:tc>
        <w:tc>
          <w:tcPr>
            <w:tcW w:w="1102" w:type="dxa"/>
            <w:tcBorders>
              <w:top w:val="nil"/>
              <w:left w:val="nil"/>
              <w:bottom w:val="single" w:sz="4" w:space="0" w:color="BFBFBF"/>
              <w:right w:val="single" w:sz="4" w:space="0" w:color="BFBFBF"/>
            </w:tcBorders>
            <w:shd w:val="clear" w:color="auto" w:fill="auto"/>
            <w:noWrap/>
            <w:vAlign w:val="bottom"/>
            <w:hideMark/>
          </w:tcPr>
          <w:p w14:paraId="7D890741" w14:textId="77777777" w:rsidR="002C5185" w:rsidRPr="002C5185" w:rsidRDefault="002C5185" w:rsidP="002C5185">
            <w:pPr>
              <w:jc w:val="center"/>
              <w:rPr>
                <w:rFonts w:cs="Arial"/>
                <w:color w:val="000000"/>
                <w:sz w:val="20"/>
              </w:rPr>
            </w:pPr>
            <w:r w:rsidRPr="002C5185">
              <w:rPr>
                <w:rFonts w:cs="Arial"/>
                <w:color w:val="000000"/>
                <w:sz w:val="20"/>
              </w:rPr>
              <w:t>71.0</w:t>
            </w:r>
          </w:p>
        </w:tc>
        <w:tc>
          <w:tcPr>
            <w:tcW w:w="1416" w:type="dxa"/>
            <w:tcBorders>
              <w:top w:val="nil"/>
              <w:left w:val="nil"/>
              <w:bottom w:val="single" w:sz="4" w:space="0" w:color="BFBFBF"/>
              <w:right w:val="double" w:sz="6" w:space="0" w:color="808080"/>
            </w:tcBorders>
            <w:shd w:val="clear" w:color="auto" w:fill="auto"/>
            <w:noWrap/>
            <w:vAlign w:val="bottom"/>
            <w:hideMark/>
          </w:tcPr>
          <w:p w14:paraId="0CE8533C" w14:textId="77777777" w:rsidR="002C5185" w:rsidRPr="002C5185" w:rsidRDefault="002C5185" w:rsidP="002C5185">
            <w:pPr>
              <w:jc w:val="center"/>
              <w:rPr>
                <w:rFonts w:cs="Arial"/>
                <w:color w:val="000000"/>
                <w:sz w:val="20"/>
              </w:rPr>
            </w:pPr>
            <w:r w:rsidRPr="002C5185">
              <w:rPr>
                <w:rFonts w:cs="Arial"/>
                <w:color w:val="000000"/>
                <w:sz w:val="20"/>
              </w:rPr>
              <w:t>100%</w:t>
            </w:r>
          </w:p>
        </w:tc>
        <w:tc>
          <w:tcPr>
            <w:tcW w:w="1036" w:type="dxa"/>
            <w:tcBorders>
              <w:top w:val="nil"/>
              <w:left w:val="nil"/>
              <w:bottom w:val="single" w:sz="4" w:space="0" w:color="BFBFBF"/>
              <w:right w:val="single" w:sz="4" w:space="0" w:color="BFBFBF"/>
            </w:tcBorders>
            <w:shd w:val="clear" w:color="auto" w:fill="auto"/>
            <w:noWrap/>
            <w:vAlign w:val="bottom"/>
            <w:hideMark/>
          </w:tcPr>
          <w:p w14:paraId="47CDD9C5" w14:textId="77777777" w:rsidR="002C5185" w:rsidRPr="002C5185" w:rsidRDefault="002C5185" w:rsidP="002C5185">
            <w:pPr>
              <w:jc w:val="center"/>
              <w:rPr>
                <w:rFonts w:cs="Arial"/>
                <w:color w:val="000000"/>
                <w:sz w:val="20"/>
              </w:rPr>
            </w:pPr>
            <w:r w:rsidRPr="002C5185">
              <w:rPr>
                <w:rFonts w:cs="Arial"/>
                <w:color w:val="000000"/>
                <w:sz w:val="20"/>
              </w:rPr>
              <w:t>71.0</w:t>
            </w:r>
          </w:p>
        </w:tc>
        <w:tc>
          <w:tcPr>
            <w:tcW w:w="1136" w:type="dxa"/>
            <w:tcBorders>
              <w:top w:val="nil"/>
              <w:left w:val="nil"/>
              <w:bottom w:val="single" w:sz="4" w:space="0" w:color="BFBFBF"/>
              <w:right w:val="single" w:sz="4" w:space="0" w:color="BFBFBF"/>
            </w:tcBorders>
            <w:shd w:val="clear" w:color="auto" w:fill="auto"/>
            <w:noWrap/>
            <w:vAlign w:val="bottom"/>
            <w:hideMark/>
          </w:tcPr>
          <w:p w14:paraId="3F284484" w14:textId="77777777" w:rsidR="002C5185" w:rsidRPr="002C5185" w:rsidRDefault="002C5185" w:rsidP="002C5185">
            <w:pPr>
              <w:jc w:val="center"/>
              <w:rPr>
                <w:rFonts w:cs="Arial"/>
                <w:color w:val="000000"/>
                <w:sz w:val="20"/>
              </w:rPr>
            </w:pPr>
            <w:r w:rsidRPr="002C5185">
              <w:rPr>
                <w:rFonts w:cs="Arial"/>
                <w:color w:val="000000"/>
                <w:sz w:val="20"/>
              </w:rPr>
              <w:t>514.0</w:t>
            </w:r>
          </w:p>
        </w:tc>
        <w:tc>
          <w:tcPr>
            <w:tcW w:w="1416" w:type="dxa"/>
            <w:tcBorders>
              <w:top w:val="nil"/>
              <w:left w:val="nil"/>
              <w:bottom w:val="single" w:sz="4" w:space="0" w:color="BFBFBF"/>
              <w:right w:val="single" w:sz="4" w:space="0" w:color="BFBFBF"/>
            </w:tcBorders>
            <w:shd w:val="clear" w:color="auto" w:fill="auto"/>
            <w:noWrap/>
            <w:vAlign w:val="bottom"/>
            <w:hideMark/>
          </w:tcPr>
          <w:p w14:paraId="06D94FA7" w14:textId="77777777" w:rsidR="002C5185" w:rsidRPr="002C5185" w:rsidRDefault="002C5185" w:rsidP="002C5185">
            <w:pPr>
              <w:jc w:val="center"/>
              <w:rPr>
                <w:rFonts w:cs="Arial"/>
                <w:color w:val="000000"/>
                <w:sz w:val="20"/>
              </w:rPr>
            </w:pPr>
            <w:r w:rsidRPr="002C5185">
              <w:rPr>
                <w:rFonts w:cs="Arial"/>
                <w:color w:val="000000"/>
                <w:sz w:val="20"/>
              </w:rPr>
              <w:t>14%</w:t>
            </w:r>
          </w:p>
        </w:tc>
      </w:tr>
      <w:tr w:rsidR="002C5185" w:rsidRPr="002C5185" w14:paraId="0D6CD8E1" w14:textId="77777777" w:rsidTr="002C5185">
        <w:trPr>
          <w:trHeight w:val="255"/>
        </w:trPr>
        <w:tc>
          <w:tcPr>
            <w:tcW w:w="1357" w:type="dxa"/>
            <w:tcBorders>
              <w:top w:val="nil"/>
              <w:left w:val="single" w:sz="4" w:space="0" w:color="BFBFBF"/>
              <w:bottom w:val="single" w:sz="4" w:space="0" w:color="BFBFBF"/>
              <w:right w:val="single" w:sz="4" w:space="0" w:color="BFBFBF"/>
            </w:tcBorders>
            <w:shd w:val="clear" w:color="auto" w:fill="auto"/>
            <w:noWrap/>
            <w:vAlign w:val="bottom"/>
            <w:hideMark/>
          </w:tcPr>
          <w:p w14:paraId="51B6DD3A" w14:textId="77777777" w:rsidR="002C5185" w:rsidRPr="002C5185" w:rsidRDefault="002C5185" w:rsidP="002C5185">
            <w:pPr>
              <w:jc w:val="center"/>
              <w:rPr>
                <w:rFonts w:cs="Arial"/>
                <w:color w:val="000000"/>
                <w:sz w:val="20"/>
              </w:rPr>
            </w:pPr>
            <w:r w:rsidRPr="002C5185">
              <w:rPr>
                <w:rFonts w:cs="Arial"/>
                <w:color w:val="000000"/>
                <w:sz w:val="20"/>
              </w:rPr>
              <w:t>09/12/2014</w:t>
            </w:r>
          </w:p>
        </w:tc>
        <w:tc>
          <w:tcPr>
            <w:tcW w:w="1136" w:type="dxa"/>
            <w:tcBorders>
              <w:top w:val="nil"/>
              <w:left w:val="nil"/>
              <w:bottom w:val="single" w:sz="4" w:space="0" w:color="BFBFBF"/>
              <w:right w:val="single" w:sz="4" w:space="0" w:color="BFBFBF"/>
            </w:tcBorders>
            <w:shd w:val="clear" w:color="auto" w:fill="auto"/>
            <w:noWrap/>
            <w:vAlign w:val="bottom"/>
            <w:hideMark/>
          </w:tcPr>
          <w:p w14:paraId="6F51CFF0" w14:textId="77777777" w:rsidR="002C5185" w:rsidRPr="002C5185" w:rsidRDefault="002C5185" w:rsidP="002C5185">
            <w:pPr>
              <w:jc w:val="center"/>
              <w:rPr>
                <w:rFonts w:cs="Arial"/>
                <w:color w:val="000000"/>
                <w:sz w:val="20"/>
              </w:rPr>
            </w:pPr>
            <w:r w:rsidRPr="002C5185">
              <w:rPr>
                <w:rFonts w:cs="Arial"/>
                <w:color w:val="000000"/>
                <w:sz w:val="20"/>
              </w:rPr>
              <w:t>79</w:t>
            </w:r>
          </w:p>
        </w:tc>
        <w:tc>
          <w:tcPr>
            <w:tcW w:w="1100" w:type="dxa"/>
            <w:tcBorders>
              <w:top w:val="nil"/>
              <w:left w:val="nil"/>
              <w:bottom w:val="single" w:sz="4" w:space="0" w:color="BFBFBF"/>
              <w:right w:val="single" w:sz="4" w:space="0" w:color="BFBFBF"/>
            </w:tcBorders>
            <w:shd w:val="clear" w:color="auto" w:fill="auto"/>
            <w:noWrap/>
            <w:vAlign w:val="bottom"/>
            <w:hideMark/>
          </w:tcPr>
          <w:p w14:paraId="30A30A2C" w14:textId="77777777" w:rsidR="002C5185" w:rsidRPr="002C5185" w:rsidRDefault="002C5185" w:rsidP="002C5185">
            <w:pPr>
              <w:jc w:val="center"/>
              <w:rPr>
                <w:rFonts w:cs="Arial"/>
                <w:color w:val="000000"/>
                <w:sz w:val="20"/>
              </w:rPr>
            </w:pPr>
            <w:r w:rsidRPr="002C5185">
              <w:rPr>
                <w:rFonts w:cs="Arial"/>
                <w:color w:val="000000"/>
                <w:sz w:val="20"/>
              </w:rPr>
              <w:t>9.0</w:t>
            </w:r>
          </w:p>
        </w:tc>
        <w:tc>
          <w:tcPr>
            <w:tcW w:w="1102" w:type="dxa"/>
            <w:tcBorders>
              <w:top w:val="nil"/>
              <w:left w:val="nil"/>
              <w:bottom w:val="single" w:sz="4" w:space="0" w:color="BFBFBF"/>
              <w:right w:val="single" w:sz="4" w:space="0" w:color="BFBFBF"/>
            </w:tcBorders>
            <w:shd w:val="clear" w:color="auto" w:fill="auto"/>
            <w:noWrap/>
            <w:vAlign w:val="bottom"/>
            <w:hideMark/>
          </w:tcPr>
          <w:p w14:paraId="79CA07AF" w14:textId="77777777" w:rsidR="002C5185" w:rsidRPr="002C5185" w:rsidRDefault="002C5185" w:rsidP="002C5185">
            <w:pPr>
              <w:jc w:val="center"/>
              <w:rPr>
                <w:rFonts w:cs="Arial"/>
                <w:color w:val="000000"/>
                <w:sz w:val="20"/>
              </w:rPr>
            </w:pPr>
            <w:r w:rsidRPr="002C5185">
              <w:rPr>
                <w:rFonts w:cs="Arial"/>
                <w:color w:val="000000"/>
                <w:sz w:val="20"/>
              </w:rPr>
              <w:t>74.0</w:t>
            </w:r>
          </w:p>
        </w:tc>
        <w:tc>
          <w:tcPr>
            <w:tcW w:w="1386" w:type="dxa"/>
            <w:tcBorders>
              <w:top w:val="nil"/>
              <w:left w:val="nil"/>
              <w:bottom w:val="single" w:sz="4" w:space="0" w:color="BFBFBF"/>
              <w:right w:val="double" w:sz="6" w:space="0" w:color="808080"/>
            </w:tcBorders>
            <w:shd w:val="clear" w:color="auto" w:fill="auto"/>
            <w:noWrap/>
            <w:vAlign w:val="bottom"/>
            <w:hideMark/>
          </w:tcPr>
          <w:p w14:paraId="5695AC46" w14:textId="77777777" w:rsidR="002C5185" w:rsidRPr="002C5185" w:rsidRDefault="002C5185" w:rsidP="002C5185">
            <w:pPr>
              <w:jc w:val="center"/>
              <w:rPr>
                <w:rFonts w:cs="Arial"/>
                <w:color w:val="000000"/>
                <w:sz w:val="20"/>
              </w:rPr>
            </w:pPr>
            <w:r w:rsidRPr="002C5185">
              <w:rPr>
                <w:rFonts w:cs="Arial"/>
                <w:color w:val="000000"/>
                <w:sz w:val="20"/>
              </w:rPr>
              <w:t>12%</w:t>
            </w:r>
          </w:p>
        </w:tc>
        <w:tc>
          <w:tcPr>
            <w:tcW w:w="1473" w:type="dxa"/>
            <w:tcBorders>
              <w:top w:val="nil"/>
              <w:left w:val="nil"/>
              <w:bottom w:val="single" w:sz="4" w:space="0" w:color="BFBFBF"/>
              <w:right w:val="single" w:sz="4" w:space="0" w:color="BFBFBF"/>
            </w:tcBorders>
            <w:shd w:val="clear" w:color="auto" w:fill="auto"/>
            <w:noWrap/>
            <w:vAlign w:val="bottom"/>
            <w:hideMark/>
          </w:tcPr>
          <w:p w14:paraId="46FEE241" w14:textId="77777777" w:rsidR="002C5185" w:rsidRPr="002C5185" w:rsidRDefault="002C5185" w:rsidP="002C5185">
            <w:pPr>
              <w:jc w:val="center"/>
              <w:rPr>
                <w:rFonts w:cs="Arial"/>
                <w:color w:val="000000"/>
                <w:sz w:val="20"/>
              </w:rPr>
            </w:pPr>
            <w:r w:rsidRPr="002C5185">
              <w:rPr>
                <w:rFonts w:cs="Arial"/>
                <w:color w:val="000000"/>
                <w:sz w:val="20"/>
              </w:rPr>
              <w:t>97.0</w:t>
            </w:r>
          </w:p>
        </w:tc>
        <w:tc>
          <w:tcPr>
            <w:tcW w:w="1102" w:type="dxa"/>
            <w:tcBorders>
              <w:top w:val="nil"/>
              <w:left w:val="nil"/>
              <w:bottom w:val="single" w:sz="4" w:space="0" w:color="BFBFBF"/>
              <w:right w:val="single" w:sz="4" w:space="0" w:color="BFBFBF"/>
            </w:tcBorders>
            <w:shd w:val="clear" w:color="auto" w:fill="auto"/>
            <w:noWrap/>
            <w:vAlign w:val="bottom"/>
            <w:hideMark/>
          </w:tcPr>
          <w:p w14:paraId="3B3AB5E0" w14:textId="77777777" w:rsidR="002C5185" w:rsidRPr="002C5185" w:rsidRDefault="002C5185" w:rsidP="002C5185">
            <w:pPr>
              <w:jc w:val="center"/>
              <w:rPr>
                <w:rFonts w:cs="Arial"/>
                <w:color w:val="000000"/>
                <w:sz w:val="20"/>
              </w:rPr>
            </w:pPr>
            <w:r w:rsidRPr="002C5185">
              <w:rPr>
                <w:rFonts w:cs="Arial"/>
                <w:color w:val="000000"/>
                <w:sz w:val="20"/>
              </w:rPr>
              <w:t>101.0</w:t>
            </w:r>
          </w:p>
        </w:tc>
        <w:tc>
          <w:tcPr>
            <w:tcW w:w="1416" w:type="dxa"/>
            <w:tcBorders>
              <w:top w:val="nil"/>
              <w:left w:val="nil"/>
              <w:bottom w:val="single" w:sz="4" w:space="0" w:color="BFBFBF"/>
              <w:right w:val="double" w:sz="6" w:space="0" w:color="808080"/>
            </w:tcBorders>
            <w:shd w:val="clear" w:color="auto" w:fill="auto"/>
            <w:noWrap/>
            <w:vAlign w:val="bottom"/>
            <w:hideMark/>
          </w:tcPr>
          <w:p w14:paraId="5660192E" w14:textId="77777777" w:rsidR="002C5185" w:rsidRPr="002C5185" w:rsidRDefault="002C5185" w:rsidP="002C5185">
            <w:pPr>
              <w:jc w:val="center"/>
              <w:rPr>
                <w:rFonts w:cs="Arial"/>
                <w:color w:val="000000"/>
                <w:sz w:val="20"/>
              </w:rPr>
            </w:pPr>
            <w:r w:rsidRPr="002C5185">
              <w:rPr>
                <w:rFonts w:cs="Arial"/>
                <w:color w:val="000000"/>
                <w:sz w:val="20"/>
              </w:rPr>
              <w:t>96%</w:t>
            </w:r>
          </w:p>
        </w:tc>
        <w:tc>
          <w:tcPr>
            <w:tcW w:w="1036" w:type="dxa"/>
            <w:tcBorders>
              <w:top w:val="nil"/>
              <w:left w:val="nil"/>
              <w:bottom w:val="single" w:sz="4" w:space="0" w:color="BFBFBF"/>
              <w:right w:val="single" w:sz="4" w:space="0" w:color="BFBFBF"/>
            </w:tcBorders>
            <w:shd w:val="clear" w:color="auto" w:fill="auto"/>
            <w:noWrap/>
            <w:vAlign w:val="bottom"/>
            <w:hideMark/>
          </w:tcPr>
          <w:p w14:paraId="3FB2EC80" w14:textId="77777777" w:rsidR="002C5185" w:rsidRPr="002C5185" w:rsidRDefault="002C5185" w:rsidP="002C5185">
            <w:pPr>
              <w:jc w:val="center"/>
              <w:rPr>
                <w:rFonts w:cs="Arial"/>
                <w:color w:val="000000"/>
                <w:sz w:val="20"/>
              </w:rPr>
            </w:pPr>
            <w:r w:rsidRPr="002C5185">
              <w:rPr>
                <w:rFonts w:cs="Arial"/>
                <w:color w:val="000000"/>
                <w:sz w:val="20"/>
              </w:rPr>
              <w:t>101.0</w:t>
            </w:r>
          </w:p>
        </w:tc>
        <w:tc>
          <w:tcPr>
            <w:tcW w:w="1136" w:type="dxa"/>
            <w:tcBorders>
              <w:top w:val="nil"/>
              <w:left w:val="nil"/>
              <w:bottom w:val="single" w:sz="4" w:space="0" w:color="BFBFBF"/>
              <w:right w:val="single" w:sz="4" w:space="0" w:color="BFBFBF"/>
            </w:tcBorders>
            <w:shd w:val="clear" w:color="auto" w:fill="auto"/>
            <w:noWrap/>
            <w:vAlign w:val="bottom"/>
            <w:hideMark/>
          </w:tcPr>
          <w:p w14:paraId="4E27CED4" w14:textId="77777777" w:rsidR="002C5185" w:rsidRPr="002C5185" w:rsidRDefault="002C5185" w:rsidP="002C5185">
            <w:pPr>
              <w:jc w:val="center"/>
              <w:rPr>
                <w:rFonts w:cs="Arial"/>
                <w:color w:val="000000"/>
                <w:sz w:val="20"/>
              </w:rPr>
            </w:pPr>
            <w:r w:rsidRPr="002C5185">
              <w:rPr>
                <w:rFonts w:cs="Arial"/>
                <w:color w:val="000000"/>
                <w:sz w:val="20"/>
              </w:rPr>
              <w:t>233.0</w:t>
            </w:r>
          </w:p>
        </w:tc>
        <w:tc>
          <w:tcPr>
            <w:tcW w:w="1416" w:type="dxa"/>
            <w:tcBorders>
              <w:top w:val="nil"/>
              <w:left w:val="nil"/>
              <w:bottom w:val="single" w:sz="4" w:space="0" w:color="BFBFBF"/>
              <w:right w:val="single" w:sz="4" w:space="0" w:color="BFBFBF"/>
            </w:tcBorders>
            <w:shd w:val="clear" w:color="auto" w:fill="auto"/>
            <w:noWrap/>
            <w:vAlign w:val="bottom"/>
            <w:hideMark/>
          </w:tcPr>
          <w:p w14:paraId="68367D2B" w14:textId="77777777" w:rsidR="002C5185" w:rsidRPr="002C5185" w:rsidRDefault="002C5185" w:rsidP="002C5185">
            <w:pPr>
              <w:jc w:val="center"/>
              <w:rPr>
                <w:rFonts w:cs="Arial"/>
                <w:color w:val="000000"/>
                <w:sz w:val="20"/>
              </w:rPr>
            </w:pPr>
            <w:r w:rsidRPr="002C5185">
              <w:rPr>
                <w:rFonts w:cs="Arial"/>
                <w:color w:val="000000"/>
                <w:sz w:val="20"/>
              </w:rPr>
              <w:t>43%</w:t>
            </w:r>
          </w:p>
        </w:tc>
      </w:tr>
      <w:tr w:rsidR="002C5185" w:rsidRPr="002C5185" w14:paraId="7241AA4B" w14:textId="77777777" w:rsidTr="002C5185">
        <w:trPr>
          <w:trHeight w:val="255"/>
        </w:trPr>
        <w:tc>
          <w:tcPr>
            <w:tcW w:w="1357" w:type="dxa"/>
            <w:tcBorders>
              <w:top w:val="nil"/>
              <w:left w:val="single" w:sz="4" w:space="0" w:color="BFBFBF"/>
              <w:bottom w:val="single" w:sz="4" w:space="0" w:color="BFBFBF"/>
              <w:right w:val="single" w:sz="4" w:space="0" w:color="BFBFBF"/>
            </w:tcBorders>
            <w:shd w:val="clear" w:color="auto" w:fill="auto"/>
            <w:noWrap/>
            <w:vAlign w:val="bottom"/>
            <w:hideMark/>
          </w:tcPr>
          <w:p w14:paraId="23C8E5B0" w14:textId="77777777" w:rsidR="002C5185" w:rsidRPr="002C5185" w:rsidRDefault="002C5185" w:rsidP="002C5185">
            <w:pPr>
              <w:jc w:val="center"/>
              <w:rPr>
                <w:rFonts w:cs="Arial"/>
                <w:color w:val="000000"/>
                <w:sz w:val="20"/>
              </w:rPr>
            </w:pPr>
            <w:r w:rsidRPr="002C5185">
              <w:rPr>
                <w:rFonts w:cs="Arial"/>
                <w:color w:val="000000"/>
                <w:sz w:val="20"/>
              </w:rPr>
              <w:t>08/10/2014</w:t>
            </w:r>
          </w:p>
        </w:tc>
        <w:tc>
          <w:tcPr>
            <w:tcW w:w="1136" w:type="dxa"/>
            <w:tcBorders>
              <w:top w:val="nil"/>
              <w:left w:val="nil"/>
              <w:bottom w:val="single" w:sz="4" w:space="0" w:color="BFBFBF"/>
              <w:right w:val="single" w:sz="4" w:space="0" w:color="BFBFBF"/>
            </w:tcBorders>
            <w:shd w:val="clear" w:color="auto" w:fill="auto"/>
            <w:noWrap/>
            <w:vAlign w:val="bottom"/>
            <w:hideMark/>
          </w:tcPr>
          <w:p w14:paraId="6D206262" w14:textId="77777777" w:rsidR="002C5185" w:rsidRPr="002C5185" w:rsidRDefault="002C5185" w:rsidP="002C5185">
            <w:pPr>
              <w:jc w:val="center"/>
              <w:rPr>
                <w:rFonts w:cs="Arial"/>
                <w:color w:val="000000"/>
                <w:sz w:val="20"/>
              </w:rPr>
            </w:pPr>
            <w:r w:rsidRPr="002C5185">
              <w:rPr>
                <w:rFonts w:cs="Arial"/>
                <w:color w:val="000000"/>
                <w:sz w:val="20"/>
              </w:rPr>
              <w:t>80</w:t>
            </w:r>
          </w:p>
        </w:tc>
        <w:tc>
          <w:tcPr>
            <w:tcW w:w="1100" w:type="dxa"/>
            <w:tcBorders>
              <w:top w:val="nil"/>
              <w:left w:val="nil"/>
              <w:bottom w:val="single" w:sz="4" w:space="0" w:color="BFBFBF"/>
              <w:right w:val="single" w:sz="4" w:space="0" w:color="BFBFBF"/>
            </w:tcBorders>
            <w:shd w:val="clear" w:color="auto" w:fill="auto"/>
            <w:noWrap/>
            <w:vAlign w:val="bottom"/>
            <w:hideMark/>
          </w:tcPr>
          <w:p w14:paraId="0E6B3474" w14:textId="77777777" w:rsidR="002C5185" w:rsidRPr="002C5185" w:rsidRDefault="002C5185" w:rsidP="002C5185">
            <w:pPr>
              <w:jc w:val="center"/>
              <w:rPr>
                <w:rFonts w:cs="Arial"/>
                <w:color w:val="000000"/>
                <w:sz w:val="20"/>
              </w:rPr>
            </w:pPr>
            <w:r w:rsidRPr="002C5185">
              <w:rPr>
                <w:rFonts w:cs="Arial"/>
                <w:color w:val="000000"/>
                <w:sz w:val="20"/>
              </w:rPr>
              <w:t>16.0</w:t>
            </w:r>
          </w:p>
        </w:tc>
        <w:tc>
          <w:tcPr>
            <w:tcW w:w="1102" w:type="dxa"/>
            <w:tcBorders>
              <w:top w:val="nil"/>
              <w:left w:val="nil"/>
              <w:bottom w:val="single" w:sz="4" w:space="0" w:color="BFBFBF"/>
              <w:right w:val="single" w:sz="4" w:space="0" w:color="BFBFBF"/>
            </w:tcBorders>
            <w:shd w:val="clear" w:color="auto" w:fill="auto"/>
            <w:noWrap/>
            <w:vAlign w:val="bottom"/>
            <w:hideMark/>
          </w:tcPr>
          <w:p w14:paraId="41C7FA84" w14:textId="77777777" w:rsidR="002C5185" w:rsidRPr="002C5185" w:rsidRDefault="002C5185" w:rsidP="002C5185">
            <w:pPr>
              <w:jc w:val="center"/>
              <w:rPr>
                <w:rFonts w:cs="Arial"/>
                <w:color w:val="000000"/>
                <w:sz w:val="20"/>
              </w:rPr>
            </w:pPr>
            <w:r w:rsidRPr="002C5185">
              <w:rPr>
                <w:rFonts w:cs="Arial"/>
                <w:color w:val="000000"/>
                <w:sz w:val="20"/>
              </w:rPr>
              <w:t>66.0</w:t>
            </w:r>
          </w:p>
        </w:tc>
        <w:tc>
          <w:tcPr>
            <w:tcW w:w="1386" w:type="dxa"/>
            <w:tcBorders>
              <w:top w:val="nil"/>
              <w:left w:val="nil"/>
              <w:bottom w:val="single" w:sz="4" w:space="0" w:color="BFBFBF"/>
              <w:right w:val="double" w:sz="6" w:space="0" w:color="808080"/>
            </w:tcBorders>
            <w:shd w:val="clear" w:color="auto" w:fill="auto"/>
            <w:noWrap/>
            <w:vAlign w:val="bottom"/>
            <w:hideMark/>
          </w:tcPr>
          <w:p w14:paraId="2FE27285" w14:textId="77777777" w:rsidR="002C5185" w:rsidRPr="002C5185" w:rsidRDefault="002C5185" w:rsidP="002C5185">
            <w:pPr>
              <w:jc w:val="center"/>
              <w:rPr>
                <w:rFonts w:cs="Arial"/>
                <w:color w:val="000000"/>
                <w:sz w:val="20"/>
              </w:rPr>
            </w:pPr>
            <w:r w:rsidRPr="002C5185">
              <w:rPr>
                <w:rFonts w:cs="Arial"/>
                <w:color w:val="000000"/>
                <w:sz w:val="20"/>
              </w:rPr>
              <w:t>24%</w:t>
            </w:r>
          </w:p>
        </w:tc>
        <w:tc>
          <w:tcPr>
            <w:tcW w:w="1473" w:type="dxa"/>
            <w:tcBorders>
              <w:top w:val="nil"/>
              <w:left w:val="nil"/>
              <w:bottom w:val="single" w:sz="4" w:space="0" w:color="BFBFBF"/>
              <w:right w:val="single" w:sz="4" w:space="0" w:color="BFBFBF"/>
            </w:tcBorders>
            <w:shd w:val="clear" w:color="auto" w:fill="auto"/>
            <w:noWrap/>
            <w:vAlign w:val="bottom"/>
            <w:hideMark/>
          </w:tcPr>
          <w:p w14:paraId="1D50269E" w14:textId="77777777" w:rsidR="002C5185" w:rsidRPr="002C5185" w:rsidRDefault="002C5185" w:rsidP="002C5185">
            <w:pPr>
              <w:jc w:val="center"/>
              <w:rPr>
                <w:rFonts w:cs="Arial"/>
                <w:color w:val="000000"/>
                <w:sz w:val="20"/>
              </w:rPr>
            </w:pPr>
            <w:r w:rsidRPr="002C5185">
              <w:rPr>
                <w:rFonts w:cs="Arial"/>
                <w:color w:val="000000"/>
                <w:sz w:val="20"/>
              </w:rPr>
              <w:t>90.7</w:t>
            </w:r>
          </w:p>
        </w:tc>
        <w:tc>
          <w:tcPr>
            <w:tcW w:w="1102" w:type="dxa"/>
            <w:tcBorders>
              <w:top w:val="nil"/>
              <w:left w:val="nil"/>
              <w:bottom w:val="single" w:sz="4" w:space="0" w:color="BFBFBF"/>
              <w:right w:val="single" w:sz="4" w:space="0" w:color="BFBFBF"/>
            </w:tcBorders>
            <w:shd w:val="clear" w:color="auto" w:fill="auto"/>
            <w:noWrap/>
            <w:vAlign w:val="bottom"/>
            <w:hideMark/>
          </w:tcPr>
          <w:p w14:paraId="26E64E1F" w14:textId="77777777" w:rsidR="002C5185" w:rsidRPr="002C5185" w:rsidRDefault="002C5185" w:rsidP="002C5185">
            <w:pPr>
              <w:jc w:val="center"/>
              <w:rPr>
                <w:rFonts w:cs="Arial"/>
                <w:color w:val="000000"/>
                <w:sz w:val="20"/>
              </w:rPr>
            </w:pPr>
            <w:r w:rsidRPr="002C5185">
              <w:rPr>
                <w:rFonts w:cs="Arial"/>
                <w:color w:val="000000"/>
                <w:sz w:val="20"/>
              </w:rPr>
              <w:t>86.0</w:t>
            </w:r>
          </w:p>
        </w:tc>
        <w:tc>
          <w:tcPr>
            <w:tcW w:w="1416" w:type="dxa"/>
            <w:tcBorders>
              <w:top w:val="nil"/>
              <w:left w:val="nil"/>
              <w:bottom w:val="single" w:sz="4" w:space="0" w:color="BFBFBF"/>
              <w:right w:val="double" w:sz="6" w:space="0" w:color="808080"/>
            </w:tcBorders>
            <w:shd w:val="clear" w:color="auto" w:fill="auto"/>
            <w:noWrap/>
            <w:vAlign w:val="bottom"/>
            <w:hideMark/>
          </w:tcPr>
          <w:p w14:paraId="6C4FC31E" w14:textId="77777777" w:rsidR="002C5185" w:rsidRPr="002C5185" w:rsidRDefault="002C5185" w:rsidP="002C5185">
            <w:pPr>
              <w:jc w:val="center"/>
              <w:rPr>
                <w:rFonts w:cs="Arial"/>
                <w:color w:val="000000"/>
                <w:sz w:val="20"/>
              </w:rPr>
            </w:pPr>
            <w:r w:rsidRPr="002C5185">
              <w:rPr>
                <w:rFonts w:cs="Arial"/>
                <w:color w:val="000000"/>
                <w:sz w:val="20"/>
              </w:rPr>
              <w:t>105%</w:t>
            </w:r>
          </w:p>
        </w:tc>
        <w:tc>
          <w:tcPr>
            <w:tcW w:w="1036" w:type="dxa"/>
            <w:tcBorders>
              <w:top w:val="nil"/>
              <w:left w:val="nil"/>
              <w:bottom w:val="single" w:sz="4" w:space="0" w:color="BFBFBF"/>
              <w:right w:val="single" w:sz="4" w:space="0" w:color="BFBFBF"/>
            </w:tcBorders>
            <w:shd w:val="clear" w:color="auto" w:fill="auto"/>
            <w:noWrap/>
            <w:vAlign w:val="bottom"/>
            <w:hideMark/>
          </w:tcPr>
          <w:p w14:paraId="4AFD3728" w14:textId="77777777" w:rsidR="002C5185" w:rsidRPr="002C5185" w:rsidRDefault="002C5185" w:rsidP="002C5185">
            <w:pPr>
              <w:jc w:val="center"/>
              <w:rPr>
                <w:rFonts w:cs="Arial"/>
                <w:color w:val="000000"/>
                <w:sz w:val="20"/>
              </w:rPr>
            </w:pPr>
            <w:r w:rsidRPr="002C5185">
              <w:rPr>
                <w:rFonts w:cs="Arial"/>
                <w:color w:val="000000"/>
                <w:sz w:val="20"/>
              </w:rPr>
              <w:t>86.0</w:t>
            </w:r>
          </w:p>
        </w:tc>
        <w:tc>
          <w:tcPr>
            <w:tcW w:w="1136" w:type="dxa"/>
            <w:tcBorders>
              <w:top w:val="nil"/>
              <w:left w:val="nil"/>
              <w:bottom w:val="single" w:sz="4" w:space="0" w:color="BFBFBF"/>
              <w:right w:val="single" w:sz="4" w:space="0" w:color="BFBFBF"/>
            </w:tcBorders>
            <w:shd w:val="clear" w:color="auto" w:fill="auto"/>
            <w:noWrap/>
            <w:vAlign w:val="bottom"/>
            <w:hideMark/>
          </w:tcPr>
          <w:p w14:paraId="6F39CAAD" w14:textId="77777777" w:rsidR="002C5185" w:rsidRPr="002C5185" w:rsidRDefault="002C5185" w:rsidP="002C5185">
            <w:pPr>
              <w:jc w:val="center"/>
              <w:rPr>
                <w:rFonts w:cs="Arial"/>
                <w:color w:val="000000"/>
                <w:sz w:val="20"/>
              </w:rPr>
            </w:pPr>
            <w:r w:rsidRPr="002C5185">
              <w:rPr>
                <w:rFonts w:cs="Arial"/>
                <w:color w:val="000000"/>
                <w:sz w:val="20"/>
              </w:rPr>
              <w:t>203.0</w:t>
            </w:r>
          </w:p>
        </w:tc>
        <w:tc>
          <w:tcPr>
            <w:tcW w:w="1416" w:type="dxa"/>
            <w:tcBorders>
              <w:top w:val="nil"/>
              <w:left w:val="nil"/>
              <w:bottom w:val="single" w:sz="4" w:space="0" w:color="BFBFBF"/>
              <w:right w:val="single" w:sz="4" w:space="0" w:color="BFBFBF"/>
            </w:tcBorders>
            <w:shd w:val="clear" w:color="auto" w:fill="auto"/>
            <w:noWrap/>
            <w:vAlign w:val="bottom"/>
            <w:hideMark/>
          </w:tcPr>
          <w:p w14:paraId="17214430" w14:textId="77777777" w:rsidR="002C5185" w:rsidRPr="002C5185" w:rsidRDefault="002C5185" w:rsidP="002C5185">
            <w:pPr>
              <w:jc w:val="center"/>
              <w:rPr>
                <w:rFonts w:cs="Arial"/>
                <w:color w:val="000000"/>
                <w:sz w:val="20"/>
              </w:rPr>
            </w:pPr>
            <w:r w:rsidRPr="002C5185">
              <w:rPr>
                <w:rFonts w:cs="Arial"/>
                <w:color w:val="000000"/>
                <w:sz w:val="20"/>
              </w:rPr>
              <w:t>42%</w:t>
            </w:r>
          </w:p>
        </w:tc>
      </w:tr>
      <w:tr w:rsidR="002C5185" w:rsidRPr="002C5185" w14:paraId="34E71973" w14:textId="77777777" w:rsidTr="002C5185">
        <w:trPr>
          <w:trHeight w:val="255"/>
        </w:trPr>
        <w:tc>
          <w:tcPr>
            <w:tcW w:w="1357" w:type="dxa"/>
            <w:tcBorders>
              <w:top w:val="nil"/>
              <w:left w:val="single" w:sz="4" w:space="0" w:color="BFBFBF"/>
              <w:bottom w:val="single" w:sz="4" w:space="0" w:color="BFBFBF"/>
              <w:right w:val="single" w:sz="4" w:space="0" w:color="BFBFBF"/>
            </w:tcBorders>
            <w:shd w:val="clear" w:color="auto" w:fill="auto"/>
            <w:noWrap/>
            <w:vAlign w:val="bottom"/>
            <w:hideMark/>
          </w:tcPr>
          <w:p w14:paraId="5C2EFCAD" w14:textId="77777777" w:rsidR="002C5185" w:rsidRPr="002C5185" w:rsidRDefault="002C5185" w:rsidP="002C5185">
            <w:pPr>
              <w:jc w:val="center"/>
              <w:rPr>
                <w:rFonts w:cs="Arial"/>
                <w:color w:val="000000"/>
                <w:sz w:val="20"/>
              </w:rPr>
            </w:pPr>
            <w:r w:rsidRPr="002C5185">
              <w:rPr>
                <w:rFonts w:cs="Arial"/>
                <w:color w:val="000000"/>
                <w:sz w:val="20"/>
              </w:rPr>
              <w:t>11/11/2014</w:t>
            </w:r>
          </w:p>
        </w:tc>
        <w:tc>
          <w:tcPr>
            <w:tcW w:w="1136" w:type="dxa"/>
            <w:tcBorders>
              <w:top w:val="nil"/>
              <w:left w:val="nil"/>
              <w:bottom w:val="single" w:sz="4" w:space="0" w:color="BFBFBF"/>
              <w:right w:val="single" w:sz="4" w:space="0" w:color="BFBFBF"/>
            </w:tcBorders>
            <w:shd w:val="clear" w:color="auto" w:fill="auto"/>
            <w:noWrap/>
            <w:vAlign w:val="bottom"/>
            <w:hideMark/>
          </w:tcPr>
          <w:p w14:paraId="11A05563" w14:textId="77777777" w:rsidR="002C5185" w:rsidRPr="002C5185" w:rsidRDefault="002C5185" w:rsidP="002C5185">
            <w:pPr>
              <w:jc w:val="center"/>
              <w:rPr>
                <w:rFonts w:cs="Arial"/>
                <w:color w:val="000000"/>
                <w:sz w:val="20"/>
              </w:rPr>
            </w:pPr>
            <w:r w:rsidRPr="002C5185">
              <w:rPr>
                <w:rFonts w:cs="Arial"/>
                <w:color w:val="000000"/>
                <w:sz w:val="20"/>
              </w:rPr>
              <w:t>81</w:t>
            </w:r>
          </w:p>
        </w:tc>
        <w:tc>
          <w:tcPr>
            <w:tcW w:w="1100" w:type="dxa"/>
            <w:tcBorders>
              <w:top w:val="nil"/>
              <w:left w:val="nil"/>
              <w:bottom w:val="single" w:sz="4" w:space="0" w:color="BFBFBF"/>
              <w:right w:val="single" w:sz="4" w:space="0" w:color="BFBFBF"/>
            </w:tcBorders>
            <w:shd w:val="clear" w:color="auto" w:fill="auto"/>
            <w:noWrap/>
            <w:vAlign w:val="bottom"/>
            <w:hideMark/>
          </w:tcPr>
          <w:p w14:paraId="4EF876F4" w14:textId="77777777" w:rsidR="002C5185" w:rsidRPr="002C5185" w:rsidRDefault="002C5185" w:rsidP="002C5185">
            <w:pPr>
              <w:jc w:val="center"/>
              <w:rPr>
                <w:rFonts w:cs="Arial"/>
                <w:color w:val="000000"/>
                <w:sz w:val="20"/>
              </w:rPr>
            </w:pPr>
            <w:r w:rsidRPr="002C5185">
              <w:rPr>
                <w:rFonts w:cs="Arial"/>
                <w:color w:val="000000"/>
                <w:sz w:val="20"/>
              </w:rPr>
              <w:t>18.0</w:t>
            </w:r>
          </w:p>
        </w:tc>
        <w:tc>
          <w:tcPr>
            <w:tcW w:w="1102" w:type="dxa"/>
            <w:tcBorders>
              <w:top w:val="nil"/>
              <w:left w:val="nil"/>
              <w:bottom w:val="single" w:sz="4" w:space="0" w:color="BFBFBF"/>
              <w:right w:val="single" w:sz="4" w:space="0" w:color="BFBFBF"/>
            </w:tcBorders>
            <w:shd w:val="clear" w:color="auto" w:fill="auto"/>
            <w:noWrap/>
            <w:vAlign w:val="bottom"/>
            <w:hideMark/>
          </w:tcPr>
          <w:p w14:paraId="2CF84D20" w14:textId="77777777" w:rsidR="002C5185" w:rsidRPr="002C5185" w:rsidRDefault="002C5185" w:rsidP="002C5185">
            <w:pPr>
              <w:jc w:val="center"/>
              <w:rPr>
                <w:rFonts w:cs="Arial"/>
                <w:color w:val="000000"/>
                <w:sz w:val="20"/>
              </w:rPr>
            </w:pPr>
            <w:r w:rsidRPr="002C5185">
              <w:rPr>
                <w:rFonts w:cs="Arial"/>
                <w:color w:val="000000"/>
                <w:sz w:val="20"/>
              </w:rPr>
              <w:t>115.0</w:t>
            </w:r>
          </w:p>
        </w:tc>
        <w:tc>
          <w:tcPr>
            <w:tcW w:w="1386" w:type="dxa"/>
            <w:tcBorders>
              <w:top w:val="nil"/>
              <w:left w:val="nil"/>
              <w:bottom w:val="single" w:sz="4" w:space="0" w:color="BFBFBF"/>
              <w:right w:val="double" w:sz="6" w:space="0" w:color="808080"/>
            </w:tcBorders>
            <w:shd w:val="clear" w:color="auto" w:fill="auto"/>
            <w:noWrap/>
            <w:vAlign w:val="bottom"/>
            <w:hideMark/>
          </w:tcPr>
          <w:p w14:paraId="4CB3A056" w14:textId="77777777" w:rsidR="002C5185" w:rsidRPr="002C5185" w:rsidRDefault="002C5185" w:rsidP="002C5185">
            <w:pPr>
              <w:jc w:val="center"/>
              <w:rPr>
                <w:rFonts w:cs="Arial"/>
                <w:color w:val="000000"/>
                <w:sz w:val="20"/>
              </w:rPr>
            </w:pPr>
            <w:r w:rsidRPr="002C5185">
              <w:rPr>
                <w:rFonts w:cs="Arial"/>
                <w:color w:val="000000"/>
                <w:sz w:val="20"/>
              </w:rPr>
              <w:t>16%</w:t>
            </w:r>
          </w:p>
        </w:tc>
        <w:tc>
          <w:tcPr>
            <w:tcW w:w="1473" w:type="dxa"/>
            <w:tcBorders>
              <w:top w:val="nil"/>
              <w:left w:val="nil"/>
              <w:bottom w:val="single" w:sz="4" w:space="0" w:color="BFBFBF"/>
              <w:right w:val="single" w:sz="4" w:space="0" w:color="BFBFBF"/>
            </w:tcBorders>
            <w:shd w:val="clear" w:color="auto" w:fill="auto"/>
            <w:noWrap/>
            <w:vAlign w:val="bottom"/>
            <w:hideMark/>
          </w:tcPr>
          <w:p w14:paraId="221AE9AC" w14:textId="77777777" w:rsidR="002C5185" w:rsidRPr="002C5185" w:rsidRDefault="002C5185" w:rsidP="002C5185">
            <w:pPr>
              <w:jc w:val="center"/>
              <w:rPr>
                <w:rFonts w:cs="Arial"/>
                <w:color w:val="000000"/>
                <w:sz w:val="20"/>
              </w:rPr>
            </w:pPr>
            <w:r w:rsidRPr="002C5185">
              <w:rPr>
                <w:rFonts w:cs="Arial"/>
                <w:color w:val="000000"/>
                <w:sz w:val="20"/>
              </w:rPr>
              <w:t>137.1</w:t>
            </w:r>
          </w:p>
        </w:tc>
        <w:tc>
          <w:tcPr>
            <w:tcW w:w="1102" w:type="dxa"/>
            <w:tcBorders>
              <w:top w:val="nil"/>
              <w:left w:val="nil"/>
              <w:bottom w:val="single" w:sz="4" w:space="0" w:color="BFBFBF"/>
              <w:right w:val="single" w:sz="4" w:space="0" w:color="BFBFBF"/>
            </w:tcBorders>
            <w:shd w:val="clear" w:color="auto" w:fill="auto"/>
            <w:noWrap/>
            <w:vAlign w:val="bottom"/>
            <w:hideMark/>
          </w:tcPr>
          <w:p w14:paraId="7D832A92" w14:textId="77777777" w:rsidR="002C5185" w:rsidRPr="002C5185" w:rsidRDefault="002C5185" w:rsidP="002C5185">
            <w:pPr>
              <w:jc w:val="center"/>
              <w:rPr>
                <w:rFonts w:cs="Arial"/>
                <w:color w:val="000000"/>
                <w:sz w:val="20"/>
              </w:rPr>
            </w:pPr>
            <w:r w:rsidRPr="002C5185">
              <w:rPr>
                <w:rFonts w:cs="Arial"/>
                <w:color w:val="000000"/>
                <w:sz w:val="20"/>
              </w:rPr>
              <w:t>184.0</w:t>
            </w:r>
          </w:p>
        </w:tc>
        <w:tc>
          <w:tcPr>
            <w:tcW w:w="1416" w:type="dxa"/>
            <w:tcBorders>
              <w:top w:val="nil"/>
              <w:left w:val="nil"/>
              <w:bottom w:val="single" w:sz="4" w:space="0" w:color="BFBFBF"/>
              <w:right w:val="double" w:sz="6" w:space="0" w:color="808080"/>
            </w:tcBorders>
            <w:shd w:val="clear" w:color="auto" w:fill="auto"/>
            <w:noWrap/>
            <w:vAlign w:val="bottom"/>
            <w:hideMark/>
          </w:tcPr>
          <w:p w14:paraId="2C0520FF" w14:textId="77777777" w:rsidR="002C5185" w:rsidRPr="002C5185" w:rsidRDefault="002C5185" w:rsidP="002C5185">
            <w:pPr>
              <w:jc w:val="center"/>
              <w:rPr>
                <w:rFonts w:cs="Arial"/>
                <w:color w:val="000000"/>
                <w:sz w:val="20"/>
              </w:rPr>
            </w:pPr>
            <w:r w:rsidRPr="002C5185">
              <w:rPr>
                <w:rFonts w:cs="Arial"/>
                <w:color w:val="000000"/>
                <w:sz w:val="20"/>
              </w:rPr>
              <w:t>75%</w:t>
            </w:r>
          </w:p>
        </w:tc>
        <w:tc>
          <w:tcPr>
            <w:tcW w:w="1036" w:type="dxa"/>
            <w:tcBorders>
              <w:top w:val="nil"/>
              <w:left w:val="nil"/>
              <w:bottom w:val="single" w:sz="4" w:space="0" w:color="BFBFBF"/>
              <w:right w:val="single" w:sz="4" w:space="0" w:color="BFBFBF"/>
            </w:tcBorders>
            <w:shd w:val="clear" w:color="auto" w:fill="auto"/>
            <w:noWrap/>
            <w:vAlign w:val="bottom"/>
            <w:hideMark/>
          </w:tcPr>
          <w:p w14:paraId="5BCF9726" w14:textId="77777777" w:rsidR="002C5185" w:rsidRPr="002C5185" w:rsidRDefault="002C5185" w:rsidP="002C5185">
            <w:pPr>
              <w:jc w:val="center"/>
              <w:rPr>
                <w:rFonts w:cs="Arial"/>
                <w:color w:val="000000"/>
                <w:sz w:val="20"/>
              </w:rPr>
            </w:pPr>
            <w:r w:rsidRPr="002C5185">
              <w:rPr>
                <w:rFonts w:cs="Arial"/>
                <w:color w:val="000000"/>
                <w:sz w:val="20"/>
              </w:rPr>
              <w:t>184.0</w:t>
            </w:r>
          </w:p>
        </w:tc>
        <w:tc>
          <w:tcPr>
            <w:tcW w:w="1136" w:type="dxa"/>
            <w:tcBorders>
              <w:top w:val="nil"/>
              <w:left w:val="nil"/>
              <w:bottom w:val="single" w:sz="4" w:space="0" w:color="BFBFBF"/>
              <w:right w:val="single" w:sz="4" w:space="0" w:color="BFBFBF"/>
            </w:tcBorders>
            <w:shd w:val="clear" w:color="auto" w:fill="auto"/>
            <w:noWrap/>
            <w:vAlign w:val="bottom"/>
            <w:hideMark/>
          </w:tcPr>
          <w:p w14:paraId="45E675B4" w14:textId="77777777" w:rsidR="002C5185" w:rsidRPr="002C5185" w:rsidRDefault="002C5185" w:rsidP="002C5185">
            <w:pPr>
              <w:jc w:val="center"/>
              <w:rPr>
                <w:rFonts w:cs="Arial"/>
                <w:color w:val="000000"/>
                <w:sz w:val="20"/>
              </w:rPr>
            </w:pPr>
            <w:r w:rsidRPr="002C5185">
              <w:rPr>
                <w:rFonts w:cs="Arial"/>
                <w:color w:val="000000"/>
                <w:sz w:val="20"/>
              </w:rPr>
              <w:t>197.0</w:t>
            </w:r>
          </w:p>
        </w:tc>
        <w:tc>
          <w:tcPr>
            <w:tcW w:w="1416" w:type="dxa"/>
            <w:tcBorders>
              <w:top w:val="nil"/>
              <w:left w:val="nil"/>
              <w:bottom w:val="single" w:sz="4" w:space="0" w:color="BFBFBF"/>
              <w:right w:val="single" w:sz="4" w:space="0" w:color="BFBFBF"/>
            </w:tcBorders>
            <w:shd w:val="clear" w:color="auto" w:fill="auto"/>
            <w:noWrap/>
            <w:vAlign w:val="bottom"/>
            <w:hideMark/>
          </w:tcPr>
          <w:p w14:paraId="353E5F9F" w14:textId="77777777" w:rsidR="002C5185" w:rsidRPr="002C5185" w:rsidRDefault="002C5185" w:rsidP="002C5185">
            <w:pPr>
              <w:jc w:val="center"/>
              <w:rPr>
                <w:rFonts w:cs="Arial"/>
                <w:color w:val="000000"/>
                <w:sz w:val="20"/>
              </w:rPr>
            </w:pPr>
            <w:r w:rsidRPr="002C5185">
              <w:rPr>
                <w:rFonts w:cs="Arial"/>
                <w:color w:val="000000"/>
                <w:sz w:val="20"/>
              </w:rPr>
              <w:t>93%</w:t>
            </w:r>
          </w:p>
        </w:tc>
      </w:tr>
      <w:tr w:rsidR="002C5185" w:rsidRPr="002C5185" w14:paraId="0C2C10FC" w14:textId="77777777" w:rsidTr="002C5185">
        <w:trPr>
          <w:trHeight w:val="255"/>
        </w:trPr>
        <w:tc>
          <w:tcPr>
            <w:tcW w:w="1357" w:type="dxa"/>
            <w:tcBorders>
              <w:top w:val="nil"/>
              <w:left w:val="single" w:sz="4" w:space="0" w:color="BFBFBF"/>
              <w:bottom w:val="single" w:sz="4" w:space="0" w:color="BFBFBF"/>
              <w:right w:val="single" w:sz="4" w:space="0" w:color="BFBFBF"/>
            </w:tcBorders>
            <w:shd w:val="clear" w:color="auto" w:fill="auto"/>
            <w:noWrap/>
            <w:vAlign w:val="bottom"/>
            <w:hideMark/>
          </w:tcPr>
          <w:p w14:paraId="20C81D95" w14:textId="77777777" w:rsidR="002C5185" w:rsidRPr="002C5185" w:rsidRDefault="002C5185" w:rsidP="002C5185">
            <w:pPr>
              <w:jc w:val="center"/>
              <w:rPr>
                <w:rFonts w:cs="Arial"/>
                <w:color w:val="000000"/>
                <w:sz w:val="20"/>
              </w:rPr>
            </w:pPr>
            <w:r w:rsidRPr="002C5185">
              <w:rPr>
                <w:rFonts w:cs="Arial"/>
                <w:color w:val="000000"/>
                <w:sz w:val="20"/>
              </w:rPr>
              <w:t>04/08/2014</w:t>
            </w:r>
          </w:p>
        </w:tc>
        <w:tc>
          <w:tcPr>
            <w:tcW w:w="1136" w:type="dxa"/>
            <w:tcBorders>
              <w:top w:val="nil"/>
              <w:left w:val="nil"/>
              <w:bottom w:val="single" w:sz="4" w:space="0" w:color="BFBFBF"/>
              <w:right w:val="single" w:sz="4" w:space="0" w:color="BFBFBF"/>
            </w:tcBorders>
            <w:shd w:val="clear" w:color="auto" w:fill="auto"/>
            <w:noWrap/>
            <w:vAlign w:val="bottom"/>
            <w:hideMark/>
          </w:tcPr>
          <w:p w14:paraId="38239793" w14:textId="77777777" w:rsidR="002C5185" w:rsidRPr="002C5185" w:rsidRDefault="002C5185" w:rsidP="002C5185">
            <w:pPr>
              <w:jc w:val="center"/>
              <w:rPr>
                <w:rFonts w:cs="Arial"/>
                <w:color w:val="000000"/>
                <w:sz w:val="20"/>
              </w:rPr>
            </w:pPr>
            <w:r w:rsidRPr="002C5185">
              <w:rPr>
                <w:rFonts w:cs="Arial"/>
                <w:color w:val="000000"/>
                <w:sz w:val="20"/>
              </w:rPr>
              <w:t>89</w:t>
            </w:r>
          </w:p>
        </w:tc>
        <w:tc>
          <w:tcPr>
            <w:tcW w:w="1100" w:type="dxa"/>
            <w:tcBorders>
              <w:top w:val="nil"/>
              <w:left w:val="nil"/>
              <w:bottom w:val="single" w:sz="4" w:space="0" w:color="BFBFBF"/>
              <w:right w:val="single" w:sz="4" w:space="0" w:color="BFBFBF"/>
            </w:tcBorders>
            <w:shd w:val="clear" w:color="auto" w:fill="auto"/>
            <w:noWrap/>
            <w:vAlign w:val="bottom"/>
            <w:hideMark/>
          </w:tcPr>
          <w:p w14:paraId="487AAFF4" w14:textId="77777777" w:rsidR="002C5185" w:rsidRPr="002C5185" w:rsidRDefault="002C5185" w:rsidP="002C5185">
            <w:pPr>
              <w:jc w:val="center"/>
              <w:rPr>
                <w:rFonts w:cs="Arial"/>
                <w:color w:val="000000"/>
                <w:sz w:val="20"/>
              </w:rPr>
            </w:pPr>
            <w:r w:rsidRPr="002C5185">
              <w:rPr>
                <w:rFonts w:cs="Arial"/>
                <w:color w:val="000000"/>
                <w:sz w:val="20"/>
              </w:rPr>
              <w:t>1.0</w:t>
            </w:r>
          </w:p>
        </w:tc>
        <w:tc>
          <w:tcPr>
            <w:tcW w:w="1102" w:type="dxa"/>
            <w:tcBorders>
              <w:top w:val="nil"/>
              <w:left w:val="nil"/>
              <w:bottom w:val="single" w:sz="4" w:space="0" w:color="BFBFBF"/>
              <w:right w:val="single" w:sz="4" w:space="0" w:color="BFBFBF"/>
            </w:tcBorders>
            <w:shd w:val="clear" w:color="auto" w:fill="auto"/>
            <w:noWrap/>
            <w:vAlign w:val="bottom"/>
            <w:hideMark/>
          </w:tcPr>
          <w:p w14:paraId="25BCFD68" w14:textId="77777777" w:rsidR="002C5185" w:rsidRPr="002C5185" w:rsidRDefault="002C5185" w:rsidP="002C5185">
            <w:pPr>
              <w:jc w:val="center"/>
              <w:rPr>
                <w:rFonts w:cs="Arial"/>
                <w:color w:val="000000"/>
                <w:sz w:val="20"/>
              </w:rPr>
            </w:pPr>
            <w:r w:rsidRPr="002C5185">
              <w:rPr>
                <w:rFonts w:cs="Arial"/>
                <w:color w:val="000000"/>
                <w:sz w:val="20"/>
              </w:rPr>
              <w:t>23.0</w:t>
            </w:r>
          </w:p>
        </w:tc>
        <w:tc>
          <w:tcPr>
            <w:tcW w:w="1386" w:type="dxa"/>
            <w:tcBorders>
              <w:top w:val="nil"/>
              <w:left w:val="nil"/>
              <w:bottom w:val="single" w:sz="4" w:space="0" w:color="BFBFBF"/>
              <w:right w:val="double" w:sz="6" w:space="0" w:color="808080"/>
            </w:tcBorders>
            <w:shd w:val="clear" w:color="auto" w:fill="auto"/>
            <w:noWrap/>
            <w:vAlign w:val="bottom"/>
            <w:hideMark/>
          </w:tcPr>
          <w:p w14:paraId="5E52497C" w14:textId="77777777" w:rsidR="002C5185" w:rsidRPr="002C5185" w:rsidRDefault="002C5185" w:rsidP="002C5185">
            <w:pPr>
              <w:jc w:val="center"/>
              <w:rPr>
                <w:rFonts w:cs="Arial"/>
                <w:color w:val="000000"/>
                <w:sz w:val="20"/>
              </w:rPr>
            </w:pPr>
            <w:r w:rsidRPr="002C5185">
              <w:rPr>
                <w:rFonts w:cs="Arial"/>
                <w:color w:val="000000"/>
                <w:sz w:val="20"/>
              </w:rPr>
              <w:t>4%</w:t>
            </w:r>
          </w:p>
        </w:tc>
        <w:tc>
          <w:tcPr>
            <w:tcW w:w="1473" w:type="dxa"/>
            <w:tcBorders>
              <w:top w:val="nil"/>
              <w:left w:val="nil"/>
              <w:bottom w:val="single" w:sz="4" w:space="0" w:color="BFBFBF"/>
              <w:right w:val="single" w:sz="4" w:space="0" w:color="BFBFBF"/>
            </w:tcBorders>
            <w:shd w:val="clear" w:color="auto" w:fill="auto"/>
            <w:noWrap/>
            <w:vAlign w:val="bottom"/>
            <w:hideMark/>
          </w:tcPr>
          <w:p w14:paraId="15D9F78F" w14:textId="77777777" w:rsidR="002C5185" w:rsidRPr="002C5185" w:rsidRDefault="002C5185" w:rsidP="002C5185">
            <w:pPr>
              <w:jc w:val="center"/>
              <w:rPr>
                <w:rFonts w:cs="Arial"/>
                <w:color w:val="000000"/>
                <w:sz w:val="20"/>
              </w:rPr>
            </w:pPr>
            <w:r w:rsidRPr="002C5185">
              <w:rPr>
                <w:rFonts w:cs="Arial"/>
                <w:color w:val="000000"/>
                <w:sz w:val="20"/>
              </w:rPr>
              <w:t>40.2</w:t>
            </w:r>
          </w:p>
        </w:tc>
        <w:tc>
          <w:tcPr>
            <w:tcW w:w="1102" w:type="dxa"/>
            <w:tcBorders>
              <w:top w:val="nil"/>
              <w:left w:val="nil"/>
              <w:bottom w:val="single" w:sz="4" w:space="0" w:color="BFBFBF"/>
              <w:right w:val="single" w:sz="4" w:space="0" w:color="BFBFBF"/>
            </w:tcBorders>
            <w:shd w:val="clear" w:color="auto" w:fill="auto"/>
            <w:noWrap/>
            <w:vAlign w:val="bottom"/>
            <w:hideMark/>
          </w:tcPr>
          <w:p w14:paraId="65FAF6CC" w14:textId="77777777" w:rsidR="002C5185" w:rsidRPr="002C5185" w:rsidRDefault="002C5185" w:rsidP="002C5185">
            <w:pPr>
              <w:jc w:val="center"/>
              <w:rPr>
                <w:rFonts w:cs="Arial"/>
                <w:color w:val="000000"/>
                <w:sz w:val="20"/>
              </w:rPr>
            </w:pPr>
            <w:r w:rsidRPr="002C5185">
              <w:rPr>
                <w:rFonts w:cs="Arial"/>
                <w:color w:val="000000"/>
                <w:sz w:val="20"/>
              </w:rPr>
              <w:t>44.0</w:t>
            </w:r>
          </w:p>
        </w:tc>
        <w:tc>
          <w:tcPr>
            <w:tcW w:w="1416" w:type="dxa"/>
            <w:tcBorders>
              <w:top w:val="nil"/>
              <w:left w:val="nil"/>
              <w:bottom w:val="single" w:sz="4" w:space="0" w:color="BFBFBF"/>
              <w:right w:val="double" w:sz="6" w:space="0" w:color="808080"/>
            </w:tcBorders>
            <w:shd w:val="clear" w:color="auto" w:fill="auto"/>
            <w:noWrap/>
            <w:vAlign w:val="bottom"/>
            <w:hideMark/>
          </w:tcPr>
          <w:p w14:paraId="67DAE5BF" w14:textId="77777777" w:rsidR="002C5185" w:rsidRPr="002C5185" w:rsidRDefault="002C5185" w:rsidP="002C5185">
            <w:pPr>
              <w:jc w:val="center"/>
              <w:rPr>
                <w:rFonts w:cs="Arial"/>
                <w:color w:val="000000"/>
                <w:sz w:val="20"/>
              </w:rPr>
            </w:pPr>
            <w:r w:rsidRPr="002C5185">
              <w:rPr>
                <w:rFonts w:cs="Arial"/>
                <w:color w:val="000000"/>
                <w:sz w:val="20"/>
              </w:rPr>
              <w:t>91%</w:t>
            </w:r>
          </w:p>
        </w:tc>
        <w:tc>
          <w:tcPr>
            <w:tcW w:w="1036" w:type="dxa"/>
            <w:tcBorders>
              <w:top w:val="nil"/>
              <w:left w:val="nil"/>
              <w:bottom w:val="single" w:sz="4" w:space="0" w:color="BFBFBF"/>
              <w:right w:val="single" w:sz="4" w:space="0" w:color="BFBFBF"/>
            </w:tcBorders>
            <w:shd w:val="clear" w:color="auto" w:fill="auto"/>
            <w:noWrap/>
            <w:vAlign w:val="bottom"/>
            <w:hideMark/>
          </w:tcPr>
          <w:p w14:paraId="53ACB0F8" w14:textId="77777777" w:rsidR="002C5185" w:rsidRPr="002C5185" w:rsidRDefault="002C5185" w:rsidP="002C5185">
            <w:pPr>
              <w:jc w:val="center"/>
              <w:rPr>
                <w:rFonts w:cs="Arial"/>
                <w:color w:val="000000"/>
                <w:sz w:val="20"/>
              </w:rPr>
            </w:pPr>
            <w:r w:rsidRPr="002C5185">
              <w:rPr>
                <w:rFonts w:cs="Arial"/>
                <w:color w:val="000000"/>
                <w:sz w:val="20"/>
              </w:rPr>
              <w:t>44.0</w:t>
            </w:r>
          </w:p>
        </w:tc>
        <w:tc>
          <w:tcPr>
            <w:tcW w:w="1136" w:type="dxa"/>
            <w:tcBorders>
              <w:top w:val="nil"/>
              <w:left w:val="nil"/>
              <w:bottom w:val="single" w:sz="4" w:space="0" w:color="BFBFBF"/>
              <w:right w:val="single" w:sz="4" w:space="0" w:color="BFBFBF"/>
            </w:tcBorders>
            <w:shd w:val="clear" w:color="auto" w:fill="auto"/>
            <w:noWrap/>
            <w:vAlign w:val="bottom"/>
            <w:hideMark/>
          </w:tcPr>
          <w:p w14:paraId="230DF91B" w14:textId="77777777" w:rsidR="002C5185" w:rsidRPr="002C5185" w:rsidRDefault="002C5185" w:rsidP="002C5185">
            <w:pPr>
              <w:jc w:val="center"/>
              <w:rPr>
                <w:rFonts w:cs="Arial"/>
                <w:color w:val="000000"/>
                <w:sz w:val="20"/>
              </w:rPr>
            </w:pPr>
            <w:r w:rsidRPr="002C5185">
              <w:rPr>
                <w:rFonts w:cs="Arial"/>
                <w:color w:val="000000"/>
                <w:sz w:val="20"/>
              </w:rPr>
              <w:t>115.0</w:t>
            </w:r>
          </w:p>
        </w:tc>
        <w:tc>
          <w:tcPr>
            <w:tcW w:w="1416" w:type="dxa"/>
            <w:tcBorders>
              <w:top w:val="nil"/>
              <w:left w:val="nil"/>
              <w:bottom w:val="single" w:sz="4" w:space="0" w:color="BFBFBF"/>
              <w:right w:val="single" w:sz="4" w:space="0" w:color="BFBFBF"/>
            </w:tcBorders>
            <w:shd w:val="clear" w:color="auto" w:fill="auto"/>
            <w:noWrap/>
            <w:vAlign w:val="bottom"/>
            <w:hideMark/>
          </w:tcPr>
          <w:p w14:paraId="6A1A4092" w14:textId="77777777" w:rsidR="002C5185" w:rsidRPr="002C5185" w:rsidRDefault="002C5185" w:rsidP="002C5185">
            <w:pPr>
              <w:jc w:val="center"/>
              <w:rPr>
                <w:rFonts w:cs="Arial"/>
                <w:color w:val="000000"/>
                <w:sz w:val="20"/>
              </w:rPr>
            </w:pPr>
            <w:r w:rsidRPr="002C5185">
              <w:rPr>
                <w:rFonts w:cs="Arial"/>
                <w:color w:val="000000"/>
                <w:sz w:val="20"/>
              </w:rPr>
              <w:t>38%</w:t>
            </w:r>
          </w:p>
        </w:tc>
      </w:tr>
      <w:tr w:rsidR="002C5185" w:rsidRPr="002C5185" w14:paraId="700AA92C" w14:textId="77777777" w:rsidTr="002C5185">
        <w:trPr>
          <w:trHeight w:val="255"/>
        </w:trPr>
        <w:tc>
          <w:tcPr>
            <w:tcW w:w="1357" w:type="dxa"/>
            <w:tcBorders>
              <w:top w:val="nil"/>
              <w:left w:val="single" w:sz="4" w:space="0" w:color="BFBFBF"/>
              <w:bottom w:val="single" w:sz="4" w:space="0" w:color="BFBFBF"/>
              <w:right w:val="single" w:sz="4" w:space="0" w:color="BFBFBF"/>
            </w:tcBorders>
            <w:shd w:val="clear" w:color="auto" w:fill="auto"/>
            <w:noWrap/>
            <w:vAlign w:val="bottom"/>
            <w:hideMark/>
          </w:tcPr>
          <w:p w14:paraId="11945543" w14:textId="77777777" w:rsidR="002C5185" w:rsidRPr="002C5185" w:rsidRDefault="002C5185" w:rsidP="002C5185">
            <w:pPr>
              <w:jc w:val="center"/>
              <w:rPr>
                <w:rFonts w:cs="Arial"/>
                <w:color w:val="000000"/>
                <w:sz w:val="20"/>
              </w:rPr>
            </w:pPr>
            <w:r w:rsidRPr="002C5185">
              <w:rPr>
                <w:rFonts w:cs="Arial"/>
                <w:color w:val="000000"/>
                <w:sz w:val="20"/>
              </w:rPr>
              <w:t>19/06/2014</w:t>
            </w:r>
          </w:p>
        </w:tc>
        <w:tc>
          <w:tcPr>
            <w:tcW w:w="1136" w:type="dxa"/>
            <w:tcBorders>
              <w:top w:val="nil"/>
              <w:left w:val="nil"/>
              <w:bottom w:val="single" w:sz="4" w:space="0" w:color="BFBFBF"/>
              <w:right w:val="single" w:sz="4" w:space="0" w:color="BFBFBF"/>
            </w:tcBorders>
            <w:shd w:val="clear" w:color="auto" w:fill="auto"/>
            <w:noWrap/>
            <w:vAlign w:val="bottom"/>
            <w:hideMark/>
          </w:tcPr>
          <w:p w14:paraId="0297AA49" w14:textId="77777777" w:rsidR="002C5185" w:rsidRPr="002C5185" w:rsidRDefault="002C5185" w:rsidP="002C5185">
            <w:pPr>
              <w:jc w:val="center"/>
              <w:rPr>
                <w:rFonts w:cs="Arial"/>
                <w:color w:val="000000"/>
                <w:sz w:val="20"/>
              </w:rPr>
            </w:pPr>
            <w:r w:rsidRPr="002C5185">
              <w:rPr>
                <w:rFonts w:cs="Arial"/>
                <w:color w:val="000000"/>
                <w:sz w:val="20"/>
              </w:rPr>
              <w:t>91</w:t>
            </w:r>
          </w:p>
        </w:tc>
        <w:tc>
          <w:tcPr>
            <w:tcW w:w="1100" w:type="dxa"/>
            <w:tcBorders>
              <w:top w:val="nil"/>
              <w:left w:val="nil"/>
              <w:bottom w:val="single" w:sz="4" w:space="0" w:color="BFBFBF"/>
              <w:right w:val="single" w:sz="4" w:space="0" w:color="BFBFBF"/>
            </w:tcBorders>
            <w:shd w:val="clear" w:color="auto" w:fill="auto"/>
            <w:noWrap/>
            <w:vAlign w:val="bottom"/>
            <w:hideMark/>
          </w:tcPr>
          <w:p w14:paraId="0F6C55D0" w14:textId="77777777" w:rsidR="002C5185" w:rsidRPr="002C5185" w:rsidRDefault="002C5185" w:rsidP="002C5185">
            <w:pPr>
              <w:jc w:val="center"/>
              <w:rPr>
                <w:rFonts w:cs="Arial"/>
                <w:color w:val="000000"/>
                <w:sz w:val="20"/>
              </w:rPr>
            </w:pPr>
            <w:r w:rsidRPr="002C5185">
              <w:rPr>
                <w:rFonts w:cs="Arial"/>
                <w:color w:val="000000"/>
                <w:sz w:val="20"/>
              </w:rPr>
              <w:t>5.0</w:t>
            </w:r>
          </w:p>
        </w:tc>
        <w:tc>
          <w:tcPr>
            <w:tcW w:w="1102" w:type="dxa"/>
            <w:tcBorders>
              <w:top w:val="nil"/>
              <w:left w:val="nil"/>
              <w:bottom w:val="single" w:sz="4" w:space="0" w:color="BFBFBF"/>
              <w:right w:val="single" w:sz="4" w:space="0" w:color="BFBFBF"/>
            </w:tcBorders>
            <w:shd w:val="clear" w:color="auto" w:fill="auto"/>
            <w:noWrap/>
            <w:vAlign w:val="bottom"/>
            <w:hideMark/>
          </w:tcPr>
          <w:p w14:paraId="4A24D53F" w14:textId="77777777" w:rsidR="002C5185" w:rsidRPr="002C5185" w:rsidRDefault="002C5185" w:rsidP="002C5185">
            <w:pPr>
              <w:jc w:val="center"/>
              <w:rPr>
                <w:rFonts w:cs="Arial"/>
                <w:color w:val="000000"/>
                <w:sz w:val="20"/>
              </w:rPr>
            </w:pPr>
            <w:r w:rsidRPr="002C5185">
              <w:rPr>
                <w:rFonts w:cs="Arial"/>
                <w:color w:val="000000"/>
                <w:sz w:val="20"/>
              </w:rPr>
              <w:t>29.0</w:t>
            </w:r>
          </w:p>
        </w:tc>
        <w:tc>
          <w:tcPr>
            <w:tcW w:w="1386" w:type="dxa"/>
            <w:tcBorders>
              <w:top w:val="nil"/>
              <w:left w:val="nil"/>
              <w:bottom w:val="single" w:sz="4" w:space="0" w:color="BFBFBF"/>
              <w:right w:val="double" w:sz="6" w:space="0" w:color="808080"/>
            </w:tcBorders>
            <w:shd w:val="clear" w:color="auto" w:fill="auto"/>
            <w:noWrap/>
            <w:vAlign w:val="bottom"/>
            <w:hideMark/>
          </w:tcPr>
          <w:p w14:paraId="0215A3B6" w14:textId="77777777" w:rsidR="002C5185" w:rsidRPr="002C5185" w:rsidRDefault="002C5185" w:rsidP="002C5185">
            <w:pPr>
              <w:jc w:val="center"/>
              <w:rPr>
                <w:rFonts w:cs="Arial"/>
                <w:color w:val="000000"/>
                <w:sz w:val="20"/>
              </w:rPr>
            </w:pPr>
            <w:r w:rsidRPr="002C5185">
              <w:rPr>
                <w:rFonts w:cs="Arial"/>
                <w:color w:val="000000"/>
                <w:sz w:val="20"/>
              </w:rPr>
              <w:t>17%</w:t>
            </w:r>
          </w:p>
        </w:tc>
        <w:tc>
          <w:tcPr>
            <w:tcW w:w="1473" w:type="dxa"/>
            <w:tcBorders>
              <w:top w:val="nil"/>
              <w:left w:val="nil"/>
              <w:bottom w:val="single" w:sz="4" w:space="0" w:color="BFBFBF"/>
              <w:right w:val="single" w:sz="4" w:space="0" w:color="BFBFBF"/>
            </w:tcBorders>
            <w:shd w:val="clear" w:color="auto" w:fill="auto"/>
            <w:noWrap/>
            <w:vAlign w:val="bottom"/>
            <w:hideMark/>
          </w:tcPr>
          <w:p w14:paraId="13363E15" w14:textId="77777777" w:rsidR="002C5185" w:rsidRPr="002C5185" w:rsidRDefault="002C5185" w:rsidP="002C5185">
            <w:pPr>
              <w:jc w:val="center"/>
              <w:rPr>
                <w:rFonts w:cs="Arial"/>
                <w:color w:val="000000"/>
                <w:sz w:val="20"/>
              </w:rPr>
            </w:pPr>
            <w:r w:rsidRPr="002C5185">
              <w:rPr>
                <w:rFonts w:cs="Arial"/>
                <w:color w:val="000000"/>
                <w:sz w:val="20"/>
              </w:rPr>
              <w:t>50.2</w:t>
            </w:r>
          </w:p>
        </w:tc>
        <w:tc>
          <w:tcPr>
            <w:tcW w:w="1102" w:type="dxa"/>
            <w:tcBorders>
              <w:top w:val="nil"/>
              <w:left w:val="nil"/>
              <w:bottom w:val="single" w:sz="4" w:space="0" w:color="BFBFBF"/>
              <w:right w:val="single" w:sz="4" w:space="0" w:color="BFBFBF"/>
            </w:tcBorders>
            <w:shd w:val="clear" w:color="auto" w:fill="auto"/>
            <w:noWrap/>
            <w:vAlign w:val="bottom"/>
            <w:hideMark/>
          </w:tcPr>
          <w:p w14:paraId="22F8719E" w14:textId="77777777" w:rsidR="002C5185" w:rsidRPr="002C5185" w:rsidRDefault="002C5185" w:rsidP="002C5185">
            <w:pPr>
              <w:jc w:val="center"/>
              <w:rPr>
                <w:rFonts w:cs="Arial"/>
                <w:color w:val="000000"/>
                <w:sz w:val="20"/>
              </w:rPr>
            </w:pPr>
            <w:r w:rsidRPr="002C5185">
              <w:rPr>
                <w:rFonts w:cs="Arial"/>
                <w:color w:val="000000"/>
                <w:sz w:val="20"/>
              </w:rPr>
              <w:t>48.0</w:t>
            </w:r>
          </w:p>
        </w:tc>
        <w:tc>
          <w:tcPr>
            <w:tcW w:w="1416" w:type="dxa"/>
            <w:tcBorders>
              <w:top w:val="nil"/>
              <w:left w:val="nil"/>
              <w:bottom w:val="single" w:sz="4" w:space="0" w:color="BFBFBF"/>
              <w:right w:val="double" w:sz="6" w:space="0" w:color="808080"/>
            </w:tcBorders>
            <w:shd w:val="clear" w:color="auto" w:fill="auto"/>
            <w:noWrap/>
            <w:vAlign w:val="bottom"/>
            <w:hideMark/>
          </w:tcPr>
          <w:p w14:paraId="302B778B" w14:textId="77777777" w:rsidR="002C5185" w:rsidRPr="002C5185" w:rsidRDefault="002C5185" w:rsidP="002C5185">
            <w:pPr>
              <w:jc w:val="center"/>
              <w:rPr>
                <w:rFonts w:cs="Arial"/>
                <w:color w:val="000000"/>
                <w:sz w:val="20"/>
              </w:rPr>
            </w:pPr>
            <w:r w:rsidRPr="002C5185">
              <w:rPr>
                <w:rFonts w:cs="Arial"/>
                <w:color w:val="000000"/>
                <w:sz w:val="20"/>
              </w:rPr>
              <w:t>105%</w:t>
            </w:r>
          </w:p>
        </w:tc>
        <w:tc>
          <w:tcPr>
            <w:tcW w:w="1036" w:type="dxa"/>
            <w:tcBorders>
              <w:top w:val="nil"/>
              <w:left w:val="nil"/>
              <w:bottom w:val="single" w:sz="4" w:space="0" w:color="BFBFBF"/>
              <w:right w:val="single" w:sz="4" w:space="0" w:color="BFBFBF"/>
            </w:tcBorders>
            <w:shd w:val="clear" w:color="auto" w:fill="auto"/>
            <w:noWrap/>
            <w:vAlign w:val="bottom"/>
            <w:hideMark/>
          </w:tcPr>
          <w:p w14:paraId="0E95CB5E" w14:textId="77777777" w:rsidR="002C5185" w:rsidRPr="002C5185" w:rsidRDefault="002C5185" w:rsidP="002C5185">
            <w:pPr>
              <w:jc w:val="center"/>
              <w:rPr>
                <w:rFonts w:cs="Arial"/>
                <w:color w:val="000000"/>
                <w:sz w:val="20"/>
              </w:rPr>
            </w:pPr>
            <w:r w:rsidRPr="002C5185">
              <w:rPr>
                <w:rFonts w:cs="Arial"/>
                <w:color w:val="000000"/>
                <w:sz w:val="20"/>
              </w:rPr>
              <w:t>48.0</w:t>
            </w:r>
          </w:p>
        </w:tc>
        <w:tc>
          <w:tcPr>
            <w:tcW w:w="1136" w:type="dxa"/>
            <w:tcBorders>
              <w:top w:val="nil"/>
              <w:left w:val="nil"/>
              <w:bottom w:val="single" w:sz="4" w:space="0" w:color="BFBFBF"/>
              <w:right w:val="single" w:sz="4" w:space="0" w:color="BFBFBF"/>
            </w:tcBorders>
            <w:shd w:val="clear" w:color="auto" w:fill="auto"/>
            <w:noWrap/>
            <w:vAlign w:val="bottom"/>
            <w:hideMark/>
          </w:tcPr>
          <w:p w14:paraId="23A78DA5" w14:textId="77777777" w:rsidR="002C5185" w:rsidRPr="002C5185" w:rsidRDefault="002C5185" w:rsidP="002C5185">
            <w:pPr>
              <w:jc w:val="center"/>
              <w:rPr>
                <w:rFonts w:cs="Arial"/>
                <w:color w:val="000000"/>
                <w:sz w:val="20"/>
              </w:rPr>
            </w:pPr>
            <w:r w:rsidRPr="002C5185">
              <w:rPr>
                <w:rFonts w:cs="Arial"/>
                <w:color w:val="000000"/>
                <w:sz w:val="20"/>
              </w:rPr>
              <w:t>95.0</w:t>
            </w:r>
          </w:p>
        </w:tc>
        <w:tc>
          <w:tcPr>
            <w:tcW w:w="1416" w:type="dxa"/>
            <w:tcBorders>
              <w:top w:val="nil"/>
              <w:left w:val="nil"/>
              <w:bottom w:val="single" w:sz="4" w:space="0" w:color="BFBFBF"/>
              <w:right w:val="single" w:sz="4" w:space="0" w:color="BFBFBF"/>
            </w:tcBorders>
            <w:shd w:val="clear" w:color="auto" w:fill="auto"/>
            <w:noWrap/>
            <w:vAlign w:val="bottom"/>
            <w:hideMark/>
          </w:tcPr>
          <w:p w14:paraId="6DF1CB21" w14:textId="77777777" w:rsidR="002C5185" w:rsidRPr="002C5185" w:rsidRDefault="002C5185" w:rsidP="002C5185">
            <w:pPr>
              <w:jc w:val="center"/>
              <w:rPr>
                <w:rFonts w:cs="Arial"/>
                <w:color w:val="000000"/>
                <w:sz w:val="20"/>
              </w:rPr>
            </w:pPr>
            <w:r w:rsidRPr="002C5185">
              <w:rPr>
                <w:rFonts w:cs="Arial"/>
                <w:color w:val="000000"/>
                <w:sz w:val="20"/>
              </w:rPr>
              <w:t>51%</w:t>
            </w:r>
          </w:p>
        </w:tc>
      </w:tr>
      <w:tr w:rsidR="002C5185" w:rsidRPr="002C5185" w14:paraId="003E6D93" w14:textId="77777777" w:rsidTr="002C5185">
        <w:trPr>
          <w:trHeight w:val="255"/>
        </w:trPr>
        <w:tc>
          <w:tcPr>
            <w:tcW w:w="1357" w:type="dxa"/>
            <w:tcBorders>
              <w:top w:val="nil"/>
              <w:left w:val="single" w:sz="4" w:space="0" w:color="BFBFBF"/>
              <w:bottom w:val="single" w:sz="4" w:space="0" w:color="BFBFBF"/>
              <w:right w:val="single" w:sz="4" w:space="0" w:color="BFBFBF"/>
            </w:tcBorders>
            <w:shd w:val="clear" w:color="auto" w:fill="auto"/>
            <w:noWrap/>
            <w:vAlign w:val="bottom"/>
            <w:hideMark/>
          </w:tcPr>
          <w:p w14:paraId="6408E44F" w14:textId="77777777" w:rsidR="002C5185" w:rsidRPr="002C5185" w:rsidRDefault="002C5185" w:rsidP="002C5185">
            <w:pPr>
              <w:jc w:val="center"/>
              <w:rPr>
                <w:rFonts w:cs="Arial"/>
                <w:color w:val="000000"/>
                <w:sz w:val="20"/>
              </w:rPr>
            </w:pPr>
            <w:r w:rsidRPr="002C5185">
              <w:rPr>
                <w:rFonts w:cs="Arial"/>
                <w:color w:val="000000"/>
                <w:sz w:val="20"/>
              </w:rPr>
              <w:t>03/09/2014</w:t>
            </w:r>
          </w:p>
        </w:tc>
        <w:tc>
          <w:tcPr>
            <w:tcW w:w="1136" w:type="dxa"/>
            <w:tcBorders>
              <w:top w:val="nil"/>
              <w:left w:val="nil"/>
              <w:bottom w:val="single" w:sz="4" w:space="0" w:color="BFBFBF"/>
              <w:right w:val="single" w:sz="4" w:space="0" w:color="BFBFBF"/>
            </w:tcBorders>
            <w:shd w:val="clear" w:color="auto" w:fill="auto"/>
            <w:noWrap/>
            <w:vAlign w:val="bottom"/>
            <w:hideMark/>
          </w:tcPr>
          <w:p w14:paraId="442B971F" w14:textId="77777777" w:rsidR="002C5185" w:rsidRPr="002C5185" w:rsidRDefault="002C5185" w:rsidP="002C5185">
            <w:pPr>
              <w:jc w:val="center"/>
              <w:rPr>
                <w:rFonts w:cs="Arial"/>
                <w:color w:val="000000"/>
                <w:sz w:val="20"/>
              </w:rPr>
            </w:pPr>
            <w:r w:rsidRPr="002C5185">
              <w:rPr>
                <w:rFonts w:cs="Arial"/>
                <w:color w:val="000000"/>
                <w:sz w:val="20"/>
              </w:rPr>
              <w:t>94</w:t>
            </w:r>
          </w:p>
        </w:tc>
        <w:tc>
          <w:tcPr>
            <w:tcW w:w="1100" w:type="dxa"/>
            <w:tcBorders>
              <w:top w:val="nil"/>
              <w:left w:val="nil"/>
              <w:bottom w:val="single" w:sz="4" w:space="0" w:color="BFBFBF"/>
              <w:right w:val="single" w:sz="4" w:space="0" w:color="BFBFBF"/>
            </w:tcBorders>
            <w:shd w:val="clear" w:color="auto" w:fill="auto"/>
            <w:noWrap/>
            <w:vAlign w:val="bottom"/>
            <w:hideMark/>
          </w:tcPr>
          <w:p w14:paraId="575153BB" w14:textId="77777777" w:rsidR="002C5185" w:rsidRPr="002C5185" w:rsidRDefault="002C5185" w:rsidP="002C5185">
            <w:pPr>
              <w:jc w:val="center"/>
              <w:rPr>
                <w:rFonts w:cs="Arial"/>
                <w:color w:val="000000"/>
                <w:sz w:val="20"/>
              </w:rPr>
            </w:pPr>
            <w:r w:rsidRPr="002C5185">
              <w:rPr>
                <w:rFonts w:cs="Arial"/>
                <w:color w:val="000000"/>
                <w:sz w:val="20"/>
              </w:rPr>
              <w:t>1.0</w:t>
            </w:r>
          </w:p>
        </w:tc>
        <w:tc>
          <w:tcPr>
            <w:tcW w:w="1102" w:type="dxa"/>
            <w:tcBorders>
              <w:top w:val="nil"/>
              <w:left w:val="nil"/>
              <w:bottom w:val="single" w:sz="4" w:space="0" w:color="BFBFBF"/>
              <w:right w:val="single" w:sz="4" w:space="0" w:color="BFBFBF"/>
            </w:tcBorders>
            <w:shd w:val="clear" w:color="auto" w:fill="auto"/>
            <w:noWrap/>
            <w:vAlign w:val="bottom"/>
            <w:hideMark/>
          </w:tcPr>
          <w:p w14:paraId="6606141C" w14:textId="77777777" w:rsidR="002C5185" w:rsidRPr="002C5185" w:rsidRDefault="002C5185" w:rsidP="002C5185">
            <w:pPr>
              <w:jc w:val="center"/>
              <w:rPr>
                <w:rFonts w:cs="Arial"/>
                <w:color w:val="000000"/>
                <w:sz w:val="20"/>
              </w:rPr>
            </w:pPr>
            <w:r w:rsidRPr="002C5185">
              <w:rPr>
                <w:rFonts w:cs="Arial"/>
                <w:color w:val="000000"/>
                <w:sz w:val="20"/>
              </w:rPr>
              <w:t>22.0</w:t>
            </w:r>
          </w:p>
        </w:tc>
        <w:tc>
          <w:tcPr>
            <w:tcW w:w="1386" w:type="dxa"/>
            <w:tcBorders>
              <w:top w:val="nil"/>
              <w:left w:val="nil"/>
              <w:bottom w:val="single" w:sz="4" w:space="0" w:color="BFBFBF"/>
              <w:right w:val="double" w:sz="6" w:space="0" w:color="808080"/>
            </w:tcBorders>
            <w:shd w:val="clear" w:color="auto" w:fill="auto"/>
            <w:noWrap/>
            <w:vAlign w:val="bottom"/>
            <w:hideMark/>
          </w:tcPr>
          <w:p w14:paraId="123E5496" w14:textId="77777777" w:rsidR="002C5185" w:rsidRPr="002C5185" w:rsidRDefault="002C5185" w:rsidP="002C5185">
            <w:pPr>
              <w:jc w:val="center"/>
              <w:rPr>
                <w:rFonts w:cs="Arial"/>
                <w:color w:val="000000"/>
                <w:sz w:val="20"/>
              </w:rPr>
            </w:pPr>
            <w:r w:rsidRPr="002C5185">
              <w:rPr>
                <w:rFonts w:cs="Arial"/>
                <w:color w:val="000000"/>
                <w:sz w:val="20"/>
              </w:rPr>
              <w:t>5%</w:t>
            </w:r>
          </w:p>
        </w:tc>
        <w:tc>
          <w:tcPr>
            <w:tcW w:w="1473" w:type="dxa"/>
            <w:tcBorders>
              <w:top w:val="nil"/>
              <w:left w:val="nil"/>
              <w:bottom w:val="single" w:sz="4" w:space="0" w:color="BFBFBF"/>
              <w:right w:val="single" w:sz="4" w:space="0" w:color="BFBFBF"/>
            </w:tcBorders>
            <w:shd w:val="clear" w:color="auto" w:fill="auto"/>
            <w:noWrap/>
            <w:vAlign w:val="bottom"/>
            <w:hideMark/>
          </w:tcPr>
          <w:p w14:paraId="7C3FACDF" w14:textId="77777777" w:rsidR="002C5185" w:rsidRPr="002C5185" w:rsidRDefault="002C5185" w:rsidP="002C5185">
            <w:pPr>
              <w:jc w:val="center"/>
              <w:rPr>
                <w:rFonts w:cs="Arial"/>
                <w:color w:val="000000"/>
                <w:sz w:val="20"/>
              </w:rPr>
            </w:pPr>
            <w:r w:rsidRPr="002C5185">
              <w:rPr>
                <w:rFonts w:cs="Arial"/>
                <w:color w:val="000000"/>
                <w:sz w:val="20"/>
              </w:rPr>
              <w:t>40.2</w:t>
            </w:r>
          </w:p>
        </w:tc>
        <w:tc>
          <w:tcPr>
            <w:tcW w:w="1102" w:type="dxa"/>
            <w:tcBorders>
              <w:top w:val="nil"/>
              <w:left w:val="nil"/>
              <w:bottom w:val="single" w:sz="4" w:space="0" w:color="BFBFBF"/>
              <w:right w:val="single" w:sz="4" w:space="0" w:color="BFBFBF"/>
            </w:tcBorders>
            <w:shd w:val="clear" w:color="auto" w:fill="auto"/>
            <w:noWrap/>
            <w:vAlign w:val="bottom"/>
            <w:hideMark/>
          </w:tcPr>
          <w:p w14:paraId="31D7D190" w14:textId="77777777" w:rsidR="002C5185" w:rsidRPr="002C5185" w:rsidRDefault="002C5185" w:rsidP="002C5185">
            <w:pPr>
              <w:jc w:val="center"/>
              <w:rPr>
                <w:rFonts w:cs="Arial"/>
                <w:color w:val="000000"/>
                <w:sz w:val="20"/>
              </w:rPr>
            </w:pPr>
            <w:r w:rsidRPr="002C5185">
              <w:rPr>
                <w:rFonts w:cs="Arial"/>
                <w:color w:val="000000"/>
                <w:sz w:val="20"/>
              </w:rPr>
              <w:t>46.0</w:t>
            </w:r>
          </w:p>
        </w:tc>
        <w:tc>
          <w:tcPr>
            <w:tcW w:w="1416" w:type="dxa"/>
            <w:tcBorders>
              <w:top w:val="nil"/>
              <w:left w:val="nil"/>
              <w:bottom w:val="single" w:sz="4" w:space="0" w:color="BFBFBF"/>
              <w:right w:val="double" w:sz="6" w:space="0" w:color="808080"/>
            </w:tcBorders>
            <w:shd w:val="clear" w:color="auto" w:fill="auto"/>
            <w:noWrap/>
            <w:vAlign w:val="bottom"/>
            <w:hideMark/>
          </w:tcPr>
          <w:p w14:paraId="3F8F402D" w14:textId="77777777" w:rsidR="002C5185" w:rsidRPr="002C5185" w:rsidRDefault="002C5185" w:rsidP="002C5185">
            <w:pPr>
              <w:jc w:val="center"/>
              <w:rPr>
                <w:rFonts w:cs="Arial"/>
                <w:color w:val="000000"/>
                <w:sz w:val="20"/>
              </w:rPr>
            </w:pPr>
            <w:r w:rsidRPr="002C5185">
              <w:rPr>
                <w:rFonts w:cs="Arial"/>
                <w:color w:val="000000"/>
                <w:sz w:val="20"/>
              </w:rPr>
              <w:t>87%</w:t>
            </w:r>
          </w:p>
        </w:tc>
        <w:tc>
          <w:tcPr>
            <w:tcW w:w="1036" w:type="dxa"/>
            <w:tcBorders>
              <w:top w:val="nil"/>
              <w:left w:val="nil"/>
              <w:bottom w:val="single" w:sz="4" w:space="0" w:color="BFBFBF"/>
              <w:right w:val="single" w:sz="4" w:space="0" w:color="BFBFBF"/>
            </w:tcBorders>
            <w:shd w:val="clear" w:color="auto" w:fill="auto"/>
            <w:noWrap/>
            <w:vAlign w:val="bottom"/>
            <w:hideMark/>
          </w:tcPr>
          <w:p w14:paraId="759DE765" w14:textId="77777777" w:rsidR="002C5185" w:rsidRPr="002C5185" w:rsidRDefault="002C5185" w:rsidP="002C5185">
            <w:pPr>
              <w:jc w:val="center"/>
              <w:rPr>
                <w:rFonts w:cs="Arial"/>
                <w:color w:val="000000"/>
                <w:sz w:val="20"/>
              </w:rPr>
            </w:pPr>
            <w:r w:rsidRPr="002C5185">
              <w:rPr>
                <w:rFonts w:cs="Arial"/>
                <w:color w:val="000000"/>
                <w:sz w:val="20"/>
              </w:rPr>
              <w:t>46.0</w:t>
            </w:r>
          </w:p>
        </w:tc>
        <w:tc>
          <w:tcPr>
            <w:tcW w:w="1136" w:type="dxa"/>
            <w:tcBorders>
              <w:top w:val="nil"/>
              <w:left w:val="nil"/>
              <w:bottom w:val="single" w:sz="4" w:space="0" w:color="BFBFBF"/>
              <w:right w:val="single" w:sz="4" w:space="0" w:color="BFBFBF"/>
            </w:tcBorders>
            <w:shd w:val="clear" w:color="auto" w:fill="auto"/>
            <w:noWrap/>
            <w:vAlign w:val="bottom"/>
            <w:hideMark/>
          </w:tcPr>
          <w:p w14:paraId="45C300DB" w14:textId="77777777" w:rsidR="002C5185" w:rsidRPr="002C5185" w:rsidRDefault="002C5185" w:rsidP="002C5185">
            <w:pPr>
              <w:jc w:val="center"/>
              <w:rPr>
                <w:rFonts w:cs="Arial"/>
                <w:color w:val="000000"/>
                <w:sz w:val="20"/>
              </w:rPr>
            </w:pPr>
            <w:r w:rsidRPr="002C5185">
              <w:rPr>
                <w:rFonts w:cs="Arial"/>
                <w:color w:val="000000"/>
                <w:sz w:val="20"/>
              </w:rPr>
              <w:t>65.0</w:t>
            </w:r>
          </w:p>
        </w:tc>
        <w:tc>
          <w:tcPr>
            <w:tcW w:w="1416" w:type="dxa"/>
            <w:tcBorders>
              <w:top w:val="nil"/>
              <w:left w:val="nil"/>
              <w:bottom w:val="single" w:sz="4" w:space="0" w:color="BFBFBF"/>
              <w:right w:val="single" w:sz="4" w:space="0" w:color="BFBFBF"/>
            </w:tcBorders>
            <w:shd w:val="clear" w:color="auto" w:fill="auto"/>
            <w:noWrap/>
            <w:vAlign w:val="bottom"/>
            <w:hideMark/>
          </w:tcPr>
          <w:p w14:paraId="6504B270" w14:textId="77777777" w:rsidR="002C5185" w:rsidRPr="002C5185" w:rsidRDefault="002C5185" w:rsidP="002C5185">
            <w:pPr>
              <w:jc w:val="center"/>
              <w:rPr>
                <w:rFonts w:cs="Arial"/>
                <w:color w:val="000000"/>
                <w:sz w:val="20"/>
              </w:rPr>
            </w:pPr>
            <w:r w:rsidRPr="002C5185">
              <w:rPr>
                <w:rFonts w:cs="Arial"/>
                <w:color w:val="000000"/>
                <w:sz w:val="20"/>
              </w:rPr>
              <w:t>71%</w:t>
            </w:r>
          </w:p>
        </w:tc>
      </w:tr>
      <w:tr w:rsidR="002C5185" w:rsidRPr="002C5185" w14:paraId="150C2763" w14:textId="77777777" w:rsidTr="002C5185">
        <w:trPr>
          <w:trHeight w:val="255"/>
        </w:trPr>
        <w:tc>
          <w:tcPr>
            <w:tcW w:w="1357" w:type="dxa"/>
            <w:tcBorders>
              <w:top w:val="nil"/>
              <w:left w:val="single" w:sz="4" w:space="0" w:color="BFBFBF"/>
              <w:bottom w:val="single" w:sz="4" w:space="0" w:color="BFBFBF"/>
              <w:right w:val="single" w:sz="4" w:space="0" w:color="BFBFBF"/>
            </w:tcBorders>
            <w:shd w:val="clear" w:color="auto" w:fill="auto"/>
            <w:noWrap/>
            <w:vAlign w:val="bottom"/>
            <w:hideMark/>
          </w:tcPr>
          <w:p w14:paraId="75FE4FAE" w14:textId="77777777" w:rsidR="002C5185" w:rsidRPr="002C5185" w:rsidRDefault="002C5185" w:rsidP="002C5185">
            <w:pPr>
              <w:jc w:val="center"/>
              <w:rPr>
                <w:rFonts w:cs="Arial"/>
                <w:color w:val="000000"/>
                <w:sz w:val="20"/>
              </w:rPr>
            </w:pPr>
            <w:r w:rsidRPr="002C5185">
              <w:rPr>
                <w:rFonts w:cs="Arial"/>
                <w:color w:val="000000"/>
                <w:sz w:val="20"/>
              </w:rPr>
              <w:t>15/07/2014</w:t>
            </w:r>
          </w:p>
        </w:tc>
        <w:tc>
          <w:tcPr>
            <w:tcW w:w="1136" w:type="dxa"/>
            <w:tcBorders>
              <w:top w:val="nil"/>
              <w:left w:val="nil"/>
              <w:bottom w:val="single" w:sz="4" w:space="0" w:color="BFBFBF"/>
              <w:right w:val="single" w:sz="4" w:space="0" w:color="BFBFBF"/>
            </w:tcBorders>
            <w:shd w:val="clear" w:color="auto" w:fill="auto"/>
            <w:noWrap/>
            <w:vAlign w:val="bottom"/>
            <w:hideMark/>
          </w:tcPr>
          <w:p w14:paraId="3843B7A8" w14:textId="77777777" w:rsidR="002C5185" w:rsidRPr="002C5185" w:rsidRDefault="002C5185" w:rsidP="002C5185">
            <w:pPr>
              <w:jc w:val="center"/>
              <w:rPr>
                <w:rFonts w:cs="Arial"/>
                <w:color w:val="000000"/>
                <w:sz w:val="20"/>
              </w:rPr>
            </w:pPr>
            <w:r w:rsidRPr="002C5185">
              <w:rPr>
                <w:rFonts w:cs="Arial"/>
                <w:color w:val="000000"/>
                <w:sz w:val="20"/>
              </w:rPr>
              <w:t>95</w:t>
            </w:r>
          </w:p>
        </w:tc>
        <w:tc>
          <w:tcPr>
            <w:tcW w:w="1100" w:type="dxa"/>
            <w:tcBorders>
              <w:top w:val="nil"/>
              <w:left w:val="nil"/>
              <w:bottom w:val="single" w:sz="4" w:space="0" w:color="BFBFBF"/>
              <w:right w:val="single" w:sz="4" w:space="0" w:color="BFBFBF"/>
            </w:tcBorders>
            <w:shd w:val="clear" w:color="auto" w:fill="auto"/>
            <w:noWrap/>
            <w:vAlign w:val="bottom"/>
            <w:hideMark/>
          </w:tcPr>
          <w:p w14:paraId="18E96A0C" w14:textId="77777777" w:rsidR="002C5185" w:rsidRPr="002C5185" w:rsidRDefault="002C5185" w:rsidP="002C5185">
            <w:pPr>
              <w:jc w:val="center"/>
              <w:rPr>
                <w:rFonts w:cs="Arial"/>
                <w:color w:val="000000"/>
                <w:sz w:val="20"/>
              </w:rPr>
            </w:pPr>
            <w:r w:rsidRPr="002C5185">
              <w:rPr>
                <w:rFonts w:cs="Arial"/>
                <w:color w:val="000000"/>
                <w:sz w:val="20"/>
              </w:rPr>
              <w:t>1.0</w:t>
            </w:r>
          </w:p>
        </w:tc>
        <w:tc>
          <w:tcPr>
            <w:tcW w:w="1102" w:type="dxa"/>
            <w:tcBorders>
              <w:top w:val="nil"/>
              <w:left w:val="nil"/>
              <w:bottom w:val="single" w:sz="4" w:space="0" w:color="BFBFBF"/>
              <w:right w:val="single" w:sz="4" w:space="0" w:color="BFBFBF"/>
            </w:tcBorders>
            <w:shd w:val="clear" w:color="auto" w:fill="auto"/>
            <w:noWrap/>
            <w:vAlign w:val="bottom"/>
            <w:hideMark/>
          </w:tcPr>
          <w:p w14:paraId="4D9602CF" w14:textId="77777777" w:rsidR="002C5185" w:rsidRPr="002C5185" w:rsidRDefault="002C5185" w:rsidP="002C5185">
            <w:pPr>
              <w:jc w:val="center"/>
              <w:rPr>
                <w:rFonts w:cs="Arial"/>
                <w:color w:val="000000"/>
                <w:sz w:val="20"/>
              </w:rPr>
            </w:pPr>
            <w:r w:rsidRPr="002C5185">
              <w:rPr>
                <w:rFonts w:cs="Arial"/>
                <w:color w:val="000000"/>
                <w:sz w:val="20"/>
              </w:rPr>
              <w:t>13.0</w:t>
            </w:r>
          </w:p>
        </w:tc>
        <w:tc>
          <w:tcPr>
            <w:tcW w:w="1386" w:type="dxa"/>
            <w:tcBorders>
              <w:top w:val="nil"/>
              <w:left w:val="nil"/>
              <w:bottom w:val="single" w:sz="4" w:space="0" w:color="BFBFBF"/>
              <w:right w:val="double" w:sz="6" w:space="0" w:color="808080"/>
            </w:tcBorders>
            <w:shd w:val="clear" w:color="auto" w:fill="auto"/>
            <w:noWrap/>
            <w:vAlign w:val="bottom"/>
            <w:hideMark/>
          </w:tcPr>
          <w:p w14:paraId="0EF69EBC" w14:textId="77777777" w:rsidR="002C5185" w:rsidRPr="002C5185" w:rsidRDefault="002C5185" w:rsidP="002C5185">
            <w:pPr>
              <w:jc w:val="center"/>
              <w:rPr>
                <w:rFonts w:cs="Arial"/>
                <w:color w:val="000000"/>
                <w:sz w:val="20"/>
              </w:rPr>
            </w:pPr>
            <w:r w:rsidRPr="002C5185">
              <w:rPr>
                <w:rFonts w:cs="Arial"/>
                <w:color w:val="000000"/>
                <w:sz w:val="20"/>
              </w:rPr>
              <w:t>8%</w:t>
            </w:r>
          </w:p>
        </w:tc>
        <w:tc>
          <w:tcPr>
            <w:tcW w:w="1473" w:type="dxa"/>
            <w:tcBorders>
              <w:top w:val="nil"/>
              <w:left w:val="nil"/>
              <w:bottom w:val="single" w:sz="4" w:space="0" w:color="BFBFBF"/>
              <w:right w:val="single" w:sz="4" w:space="0" w:color="BFBFBF"/>
            </w:tcBorders>
            <w:shd w:val="clear" w:color="auto" w:fill="auto"/>
            <w:noWrap/>
            <w:vAlign w:val="bottom"/>
            <w:hideMark/>
          </w:tcPr>
          <w:p w14:paraId="26345C7A" w14:textId="77777777" w:rsidR="002C5185" w:rsidRPr="002C5185" w:rsidRDefault="002C5185" w:rsidP="002C5185">
            <w:pPr>
              <w:jc w:val="center"/>
              <w:rPr>
                <w:rFonts w:cs="Arial"/>
                <w:color w:val="000000"/>
                <w:sz w:val="20"/>
              </w:rPr>
            </w:pPr>
            <w:r w:rsidRPr="002C5185">
              <w:rPr>
                <w:rFonts w:cs="Arial"/>
                <w:color w:val="000000"/>
                <w:sz w:val="20"/>
              </w:rPr>
              <w:t>32.2</w:t>
            </w:r>
          </w:p>
        </w:tc>
        <w:tc>
          <w:tcPr>
            <w:tcW w:w="1102" w:type="dxa"/>
            <w:tcBorders>
              <w:top w:val="nil"/>
              <w:left w:val="nil"/>
              <w:bottom w:val="single" w:sz="4" w:space="0" w:color="BFBFBF"/>
              <w:right w:val="single" w:sz="4" w:space="0" w:color="BFBFBF"/>
            </w:tcBorders>
            <w:shd w:val="clear" w:color="auto" w:fill="auto"/>
            <w:noWrap/>
            <w:vAlign w:val="bottom"/>
            <w:hideMark/>
          </w:tcPr>
          <w:p w14:paraId="41CC876A" w14:textId="77777777" w:rsidR="002C5185" w:rsidRPr="002C5185" w:rsidRDefault="002C5185" w:rsidP="002C5185">
            <w:pPr>
              <w:jc w:val="center"/>
              <w:rPr>
                <w:rFonts w:cs="Arial"/>
                <w:color w:val="000000"/>
                <w:sz w:val="20"/>
              </w:rPr>
            </w:pPr>
            <w:r w:rsidRPr="002C5185">
              <w:rPr>
                <w:rFonts w:cs="Arial"/>
                <w:color w:val="000000"/>
                <w:sz w:val="20"/>
              </w:rPr>
              <w:t>34.0</w:t>
            </w:r>
          </w:p>
        </w:tc>
        <w:tc>
          <w:tcPr>
            <w:tcW w:w="1416" w:type="dxa"/>
            <w:tcBorders>
              <w:top w:val="nil"/>
              <w:left w:val="nil"/>
              <w:bottom w:val="single" w:sz="4" w:space="0" w:color="BFBFBF"/>
              <w:right w:val="double" w:sz="6" w:space="0" w:color="808080"/>
            </w:tcBorders>
            <w:shd w:val="clear" w:color="auto" w:fill="auto"/>
            <w:noWrap/>
            <w:vAlign w:val="bottom"/>
            <w:hideMark/>
          </w:tcPr>
          <w:p w14:paraId="5E73D834" w14:textId="77777777" w:rsidR="002C5185" w:rsidRPr="002C5185" w:rsidRDefault="002C5185" w:rsidP="002C5185">
            <w:pPr>
              <w:jc w:val="center"/>
              <w:rPr>
                <w:rFonts w:cs="Arial"/>
                <w:color w:val="000000"/>
                <w:sz w:val="20"/>
              </w:rPr>
            </w:pPr>
            <w:r w:rsidRPr="002C5185">
              <w:rPr>
                <w:rFonts w:cs="Arial"/>
                <w:color w:val="000000"/>
                <w:sz w:val="20"/>
              </w:rPr>
              <w:t>95%</w:t>
            </w:r>
          </w:p>
        </w:tc>
        <w:tc>
          <w:tcPr>
            <w:tcW w:w="1036" w:type="dxa"/>
            <w:tcBorders>
              <w:top w:val="nil"/>
              <w:left w:val="nil"/>
              <w:bottom w:val="single" w:sz="4" w:space="0" w:color="BFBFBF"/>
              <w:right w:val="single" w:sz="4" w:space="0" w:color="BFBFBF"/>
            </w:tcBorders>
            <w:shd w:val="clear" w:color="auto" w:fill="auto"/>
            <w:noWrap/>
            <w:vAlign w:val="bottom"/>
            <w:hideMark/>
          </w:tcPr>
          <w:p w14:paraId="1D3A35E8" w14:textId="77777777" w:rsidR="002C5185" w:rsidRPr="002C5185" w:rsidRDefault="002C5185" w:rsidP="002C5185">
            <w:pPr>
              <w:jc w:val="center"/>
              <w:rPr>
                <w:rFonts w:cs="Arial"/>
                <w:color w:val="000000"/>
                <w:sz w:val="20"/>
              </w:rPr>
            </w:pPr>
            <w:r w:rsidRPr="002C5185">
              <w:rPr>
                <w:rFonts w:cs="Arial"/>
                <w:color w:val="000000"/>
                <w:sz w:val="20"/>
              </w:rPr>
              <w:t>34.0</w:t>
            </w:r>
          </w:p>
        </w:tc>
        <w:tc>
          <w:tcPr>
            <w:tcW w:w="1136" w:type="dxa"/>
            <w:tcBorders>
              <w:top w:val="nil"/>
              <w:left w:val="nil"/>
              <w:bottom w:val="single" w:sz="4" w:space="0" w:color="BFBFBF"/>
              <w:right w:val="single" w:sz="4" w:space="0" w:color="BFBFBF"/>
            </w:tcBorders>
            <w:shd w:val="clear" w:color="auto" w:fill="auto"/>
            <w:noWrap/>
            <w:vAlign w:val="bottom"/>
            <w:hideMark/>
          </w:tcPr>
          <w:p w14:paraId="5D32D827" w14:textId="77777777" w:rsidR="002C5185" w:rsidRPr="002C5185" w:rsidRDefault="002C5185" w:rsidP="002C5185">
            <w:pPr>
              <w:jc w:val="center"/>
              <w:rPr>
                <w:rFonts w:cs="Arial"/>
                <w:color w:val="000000"/>
                <w:sz w:val="20"/>
              </w:rPr>
            </w:pPr>
            <w:r w:rsidRPr="002C5185">
              <w:rPr>
                <w:rFonts w:cs="Arial"/>
                <w:color w:val="000000"/>
                <w:sz w:val="20"/>
              </w:rPr>
              <w:t>56.0</w:t>
            </w:r>
          </w:p>
        </w:tc>
        <w:tc>
          <w:tcPr>
            <w:tcW w:w="1416" w:type="dxa"/>
            <w:tcBorders>
              <w:top w:val="nil"/>
              <w:left w:val="nil"/>
              <w:bottom w:val="single" w:sz="4" w:space="0" w:color="BFBFBF"/>
              <w:right w:val="single" w:sz="4" w:space="0" w:color="BFBFBF"/>
            </w:tcBorders>
            <w:shd w:val="clear" w:color="auto" w:fill="auto"/>
            <w:noWrap/>
            <w:vAlign w:val="bottom"/>
            <w:hideMark/>
          </w:tcPr>
          <w:p w14:paraId="029B25F7" w14:textId="77777777" w:rsidR="002C5185" w:rsidRPr="002C5185" w:rsidRDefault="002C5185" w:rsidP="002C5185">
            <w:pPr>
              <w:jc w:val="center"/>
              <w:rPr>
                <w:rFonts w:cs="Arial"/>
                <w:color w:val="000000"/>
                <w:sz w:val="20"/>
              </w:rPr>
            </w:pPr>
            <w:r w:rsidRPr="002C5185">
              <w:rPr>
                <w:rFonts w:cs="Arial"/>
                <w:color w:val="000000"/>
                <w:sz w:val="20"/>
              </w:rPr>
              <w:t>61%</w:t>
            </w:r>
          </w:p>
        </w:tc>
      </w:tr>
    </w:tbl>
    <w:p w14:paraId="1EBC437B" w14:textId="30CF134B" w:rsidR="00987570" w:rsidRDefault="00B87AA0" w:rsidP="00B87AA0">
      <w:pPr>
        <w:pStyle w:val="Caption"/>
        <w:rPr>
          <w:b w:val="0"/>
          <w:sz w:val="28"/>
          <w:szCs w:val="28"/>
        </w:rPr>
      </w:pPr>
      <w:r>
        <w:t xml:space="preserve">Table </w:t>
      </w:r>
      <w:r w:rsidR="00E616B5">
        <w:fldChar w:fldCharType="begin"/>
      </w:r>
      <w:r w:rsidR="00E616B5">
        <w:instrText xml:space="preserve"> SEQ Table \* ARABIC </w:instrText>
      </w:r>
      <w:r w:rsidR="00E616B5">
        <w:fldChar w:fldCharType="separate"/>
      </w:r>
      <w:r w:rsidR="00990481">
        <w:rPr>
          <w:noProof/>
        </w:rPr>
        <w:t>3</w:t>
      </w:r>
      <w:r w:rsidR="00E616B5">
        <w:rPr>
          <w:noProof/>
        </w:rPr>
        <w:fldChar w:fldCharType="end"/>
      </w:r>
      <w:r>
        <w:t xml:space="preserve"> - Measured flows at each sample point</w:t>
      </w:r>
    </w:p>
    <w:p w14:paraId="7D931384" w14:textId="77777777" w:rsidR="002C5185" w:rsidRDefault="002C5185" w:rsidP="00261ED1">
      <w:pPr>
        <w:rPr>
          <w:szCs w:val="22"/>
        </w:rPr>
      </w:pPr>
    </w:p>
    <w:p w14:paraId="0E609E00" w14:textId="77777777" w:rsidR="002C5185" w:rsidRDefault="002C5185" w:rsidP="00261ED1">
      <w:pPr>
        <w:rPr>
          <w:szCs w:val="22"/>
        </w:rPr>
      </w:pPr>
    </w:p>
    <w:p w14:paraId="2B9A20F8" w14:textId="77777777" w:rsidR="002C5185" w:rsidRDefault="002C5185" w:rsidP="00261ED1">
      <w:pPr>
        <w:rPr>
          <w:szCs w:val="22"/>
        </w:rPr>
      </w:pPr>
    </w:p>
    <w:p w14:paraId="52EFA20F" w14:textId="77777777" w:rsidR="002C5185" w:rsidRDefault="002C5185" w:rsidP="00261ED1">
      <w:pPr>
        <w:rPr>
          <w:szCs w:val="22"/>
        </w:rPr>
      </w:pPr>
    </w:p>
    <w:p w14:paraId="4E28FCBB" w14:textId="77777777" w:rsidR="002C5185" w:rsidRDefault="002C5185" w:rsidP="00261ED1">
      <w:pPr>
        <w:rPr>
          <w:szCs w:val="22"/>
        </w:rPr>
      </w:pPr>
    </w:p>
    <w:p w14:paraId="15745F43" w14:textId="77777777" w:rsidR="002C5185" w:rsidRDefault="002C5185" w:rsidP="00261ED1">
      <w:pPr>
        <w:rPr>
          <w:szCs w:val="22"/>
        </w:rPr>
      </w:pPr>
    </w:p>
    <w:p w14:paraId="2C775233" w14:textId="77777777" w:rsidR="002C5185" w:rsidRDefault="002C5185" w:rsidP="00261ED1">
      <w:pPr>
        <w:rPr>
          <w:szCs w:val="22"/>
        </w:rPr>
      </w:pPr>
    </w:p>
    <w:p w14:paraId="78994597" w14:textId="77777777" w:rsidR="002C5185" w:rsidRDefault="002C5185" w:rsidP="00261ED1">
      <w:pPr>
        <w:rPr>
          <w:szCs w:val="22"/>
        </w:rPr>
      </w:pPr>
    </w:p>
    <w:p w14:paraId="2B0FB49B" w14:textId="77777777" w:rsidR="002C5185" w:rsidRDefault="002C5185" w:rsidP="00261ED1">
      <w:pPr>
        <w:rPr>
          <w:szCs w:val="22"/>
        </w:rPr>
      </w:pPr>
    </w:p>
    <w:p w14:paraId="149076CD" w14:textId="77777777" w:rsidR="002C5185" w:rsidRDefault="002C5185" w:rsidP="00261ED1">
      <w:pPr>
        <w:rPr>
          <w:szCs w:val="22"/>
        </w:rPr>
      </w:pPr>
    </w:p>
    <w:p w14:paraId="052A5DCF" w14:textId="77777777" w:rsidR="002C5185" w:rsidRDefault="002C5185" w:rsidP="00261ED1">
      <w:pPr>
        <w:rPr>
          <w:szCs w:val="22"/>
        </w:rPr>
      </w:pPr>
    </w:p>
    <w:p w14:paraId="455D7EAE" w14:textId="77777777" w:rsidR="002C5185" w:rsidRDefault="002C5185" w:rsidP="00261ED1">
      <w:pPr>
        <w:rPr>
          <w:szCs w:val="22"/>
        </w:rPr>
      </w:pPr>
    </w:p>
    <w:p w14:paraId="2ED1A0B2" w14:textId="77777777" w:rsidR="002C5185" w:rsidRDefault="002C5185" w:rsidP="00261ED1">
      <w:pPr>
        <w:rPr>
          <w:szCs w:val="22"/>
        </w:rPr>
      </w:pPr>
    </w:p>
    <w:p w14:paraId="3B0E8B14" w14:textId="77777777" w:rsidR="002C5185" w:rsidRDefault="002C5185" w:rsidP="00261ED1">
      <w:pPr>
        <w:rPr>
          <w:szCs w:val="22"/>
        </w:rPr>
      </w:pPr>
    </w:p>
    <w:p w14:paraId="37FA63DF" w14:textId="77777777" w:rsidR="002C5185" w:rsidRDefault="002C5185" w:rsidP="00261ED1">
      <w:pPr>
        <w:rPr>
          <w:szCs w:val="22"/>
        </w:rPr>
      </w:pPr>
    </w:p>
    <w:p w14:paraId="1BD6212E" w14:textId="77777777" w:rsidR="002C5185" w:rsidRDefault="002C5185" w:rsidP="00261ED1">
      <w:pPr>
        <w:rPr>
          <w:szCs w:val="22"/>
        </w:rPr>
      </w:pPr>
    </w:p>
    <w:p w14:paraId="00C399E9" w14:textId="77777777" w:rsidR="002C5185" w:rsidRDefault="002C5185" w:rsidP="00261ED1">
      <w:pPr>
        <w:rPr>
          <w:szCs w:val="22"/>
        </w:rPr>
      </w:pPr>
    </w:p>
    <w:p w14:paraId="6AF43BF6" w14:textId="77777777" w:rsidR="002C5185" w:rsidRDefault="002C5185" w:rsidP="00261ED1">
      <w:pPr>
        <w:rPr>
          <w:szCs w:val="22"/>
        </w:rPr>
      </w:pPr>
    </w:p>
    <w:p w14:paraId="36AD2EAD" w14:textId="77777777" w:rsidR="002C5185" w:rsidRDefault="002C5185" w:rsidP="00261ED1">
      <w:pPr>
        <w:rPr>
          <w:szCs w:val="22"/>
        </w:rPr>
      </w:pPr>
    </w:p>
    <w:p w14:paraId="033DAB3A" w14:textId="77777777" w:rsidR="002C5185" w:rsidRDefault="002C5185" w:rsidP="00261ED1">
      <w:pPr>
        <w:rPr>
          <w:szCs w:val="22"/>
        </w:rPr>
      </w:pPr>
    </w:p>
    <w:p w14:paraId="6C4205CE" w14:textId="2E4069A5" w:rsidR="00F3778B" w:rsidRDefault="00F3778B" w:rsidP="00261ED1">
      <w:pPr>
        <w:rPr>
          <w:szCs w:val="22"/>
        </w:rPr>
      </w:pPr>
      <w:r w:rsidRPr="00F3778B">
        <w:rPr>
          <w:szCs w:val="22"/>
        </w:rPr>
        <w:t>Based</w:t>
      </w:r>
      <w:r>
        <w:rPr>
          <w:szCs w:val="22"/>
        </w:rPr>
        <w:t xml:space="preserve"> on the above conceptual model the following </w:t>
      </w:r>
      <w:r w:rsidR="00017FA2">
        <w:rPr>
          <w:szCs w:val="22"/>
        </w:rPr>
        <w:t>flow</w:t>
      </w:r>
      <w:r>
        <w:rPr>
          <w:szCs w:val="22"/>
        </w:rPr>
        <w:t xml:space="preserve"> balance calculations</w:t>
      </w:r>
      <w:r w:rsidR="0091309F">
        <w:rPr>
          <w:szCs w:val="22"/>
        </w:rPr>
        <w:t xml:space="preserve"> were used</w:t>
      </w:r>
    </w:p>
    <w:p w14:paraId="3BE5978A" w14:textId="77777777" w:rsidR="0023478F" w:rsidRPr="00017FA2" w:rsidRDefault="00F3778B" w:rsidP="00017FA2">
      <w:pPr>
        <w:pStyle w:val="ListParagraph"/>
        <w:numPr>
          <w:ilvl w:val="0"/>
          <w:numId w:val="28"/>
        </w:numPr>
        <w:rPr>
          <w:szCs w:val="22"/>
        </w:rPr>
      </w:pPr>
      <w:r w:rsidRPr="00017FA2">
        <w:rPr>
          <w:szCs w:val="22"/>
        </w:rPr>
        <w:t>WA7 = WA6</w:t>
      </w:r>
    </w:p>
    <w:p w14:paraId="71F34B97" w14:textId="77777777" w:rsidR="0023478F" w:rsidRPr="00017FA2" w:rsidRDefault="00F3778B" w:rsidP="00017FA2">
      <w:pPr>
        <w:pStyle w:val="ListParagraph"/>
        <w:numPr>
          <w:ilvl w:val="0"/>
          <w:numId w:val="28"/>
        </w:numPr>
        <w:rPr>
          <w:szCs w:val="22"/>
        </w:rPr>
      </w:pPr>
      <w:r w:rsidRPr="00017FA2">
        <w:rPr>
          <w:szCs w:val="22"/>
        </w:rPr>
        <w:t>WA6 +WA5 + WA4 + WA3 = WA2</w:t>
      </w:r>
    </w:p>
    <w:p w14:paraId="1DA7E47B" w14:textId="77777777" w:rsidR="00F3778B" w:rsidRPr="00017FA2" w:rsidRDefault="00F3778B" w:rsidP="00017FA2">
      <w:pPr>
        <w:pStyle w:val="ListParagraph"/>
        <w:numPr>
          <w:ilvl w:val="0"/>
          <w:numId w:val="28"/>
        </w:numPr>
        <w:rPr>
          <w:szCs w:val="22"/>
        </w:rPr>
      </w:pPr>
      <w:r w:rsidRPr="00017FA2">
        <w:rPr>
          <w:szCs w:val="22"/>
        </w:rPr>
        <w:t>WA2 = WA1</w:t>
      </w:r>
    </w:p>
    <w:p w14:paraId="4CF509A4" w14:textId="77777777" w:rsidR="003B71B7" w:rsidRDefault="003B71B7" w:rsidP="00261ED1">
      <w:pPr>
        <w:rPr>
          <w:b/>
          <w:sz w:val="28"/>
          <w:szCs w:val="28"/>
        </w:rPr>
      </w:pPr>
    </w:p>
    <w:p w14:paraId="27DFB155" w14:textId="77777777" w:rsidR="00B87AA0" w:rsidRDefault="003877C6" w:rsidP="00B87AA0">
      <w:pPr>
        <w:keepNext/>
        <w:jc w:val="left"/>
      </w:pPr>
      <w:r w:rsidRPr="003877C6">
        <w:rPr>
          <w:noProof/>
        </w:rPr>
        <w:drawing>
          <wp:inline distT="0" distB="0" distL="0" distR="0" wp14:anchorId="2E71EE82" wp14:editId="3934445B">
            <wp:extent cx="8686800" cy="251968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686800" cy="2519680"/>
                    </a:xfrm>
                    <a:prstGeom prst="rect">
                      <a:avLst/>
                    </a:prstGeom>
                    <a:noFill/>
                    <a:ln>
                      <a:noFill/>
                    </a:ln>
                  </pic:spPr>
                </pic:pic>
              </a:graphicData>
            </a:graphic>
          </wp:inline>
        </w:drawing>
      </w:r>
    </w:p>
    <w:p w14:paraId="50F8CE66" w14:textId="7BFD6398" w:rsidR="00685D84" w:rsidRDefault="00B87AA0" w:rsidP="00B87AA0">
      <w:pPr>
        <w:pStyle w:val="Caption"/>
        <w:jc w:val="left"/>
        <w:rPr>
          <w:b w:val="0"/>
          <w:sz w:val="28"/>
          <w:szCs w:val="28"/>
        </w:rPr>
        <w:sectPr w:rsidR="00685D84" w:rsidSect="00685D84">
          <w:pgSz w:w="16838" w:h="11906" w:orient="landscape" w:code="9"/>
          <w:pgMar w:top="720" w:right="720" w:bottom="720" w:left="720" w:header="567" w:footer="720" w:gutter="0"/>
          <w:cols w:space="720"/>
          <w:docGrid w:linePitch="299"/>
        </w:sectPr>
      </w:pPr>
      <w:r>
        <w:t xml:space="preserve">Table </w:t>
      </w:r>
      <w:r w:rsidR="00E616B5">
        <w:fldChar w:fldCharType="begin"/>
      </w:r>
      <w:r w:rsidR="00E616B5">
        <w:instrText xml:space="preserve"> SEQ Table \* ARABIC </w:instrText>
      </w:r>
      <w:r w:rsidR="00E616B5">
        <w:fldChar w:fldCharType="separate"/>
      </w:r>
      <w:r w:rsidR="00990481">
        <w:rPr>
          <w:noProof/>
        </w:rPr>
        <w:t>4</w:t>
      </w:r>
      <w:r w:rsidR="00E616B5">
        <w:rPr>
          <w:noProof/>
        </w:rPr>
        <w:fldChar w:fldCharType="end"/>
      </w:r>
      <w:r>
        <w:t xml:space="preserve"> - Flow balances for each main river sample point</w:t>
      </w:r>
    </w:p>
    <w:p w14:paraId="469FCA6A" w14:textId="1C864DA4" w:rsidR="00685D84" w:rsidRDefault="00C721B2">
      <w:pPr>
        <w:jc w:val="left"/>
        <w:rPr>
          <w:szCs w:val="28"/>
        </w:rPr>
      </w:pPr>
      <w:r>
        <w:rPr>
          <w:szCs w:val="28"/>
        </w:rPr>
        <w:t>West Allen upstream of Scraithole mine (WA6)</w:t>
      </w:r>
    </w:p>
    <w:p w14:paraId="01A97353" w14:textId="77777777" w:rsidR="00C721B2" w:rsidRPr="00C721B2" w:rsidRDefault="00C721B2">
      <w:pPr>
        <w:jc w:val="left"/>
        <w:rPr>
          <w:szCs w:val="28"/>
        </w:rPr>
      </w:pPr>
    </w:p>
    <w:p w14:paraId="59F90041" w14:textId="21CAF1C2" w:rsidR="00685D84" w:rsidRPr="00C721B2" w:rsidRDefault="00C721B2">
      <w:pPr>
        <w:jc w:val="left"/>
        <w:rPr>
          <w:szCs w:val="28"/>
        </w:rPr>
      </w:pPr>
      <w:r>
        <w:rPr>
          <w:szCs w:val="28"/>
        </w:rPr>
        <w:t>The flow balance at this point is limited as there is only one upstream point, and a kilometre or so between the two points. As expected the one sample point does not account for a lot of the flow that arrives at WA6. There are known tributaries in this section of the West Allen that will account for the difference in flow values.</w:t>
      </w:r>
    </w:p>
    <w:p w14:paraId="7B3F1E6A" w14:textId="77777777" w:rsidR="002A2F72" w:rsidRDefault="002A2F72" w:rsidP="00261ED1">
      <w:pPr>
        <w:rPr>
          <w:b/>
          <w:sz w:val="28"/>
          <w:szCs w:val="28"/>
        </w:rPr>
      </w:pPr>
    </w:p>
    <w:p w14:paraId="5CB9F471" w14:textId="6FDE9287" w:rsidR="00C721B2" w:rsidRDefault="00C721B2" w:rsidP="00261ED1">
      <w:pPr>
        <w:rPr>
          <w:szCs w:val="28"/>
        </w:rPr>
      </w:pPr>
      <w:r>
        <w:rPr>
          <w:szCs w:val="28"/>
        </w:rPr>
        <w:t>West Allen downstream of Barney Craig mine</w:t>
      </w:r>
      <w:r w:rsidR="002C5185">
        <w:rPr>
          <w:szCs w:val="28"/>
        </w:rPr>
        <w:t xml:space="preserve"> (WA2)</w:t>
      </w:r>
    </w:p>
    <w:p w14:paraId="28AA16E0" w14:textId="77777777" w:rsidR="00FF40A8" w:rsidRPr="00C721B2" w:rsidRDefault="00FF40A8" w:rsidP="00261ED1">
      <w:pPr>
        <w:rPr>
          <w:szCs w:val="28"/>
        </w:rPr>
      </w:pPr>
    </w:p>
    <w:p w14:paraId="0BDA3A52" w14:textId="7B45293B" w:rsidR="00FF40A8" w:rsidRDefault="00C721B2" w:rsidP="00261ED1">
      <w:pPr>
        <w:rPr>
          <w:szCs w:val="28"/>
        </w:rPr>
      </w:pPr>
      <w:r>
        <w:rPr>
          <w:szCs w:val="28"/>
        </w:rPr>
        <w:t>This section of the West Allen is in relatively close proximity to each other with only 500m between WA6 and WA2</w:t>
      </w:r>
      <w:r w:rsidR="00FF40A8">
        <w:rPr>
          <w:szCs w:val="28"/>
        </w:rPr>
        <w:t xml:space="preserve">. As expected the majority of flow can be accounted for by our sampled points. </w:t>
      </w:r>
    </w:p>
    <w:p w14:paraId="598399A4" w14:textId="77777777" w:rsidR="00FF40A8" w:rsidRDefault="00FF40A8" w:rsidP="00261ED1">
      <w:pPr>
        <w:rPr>
          <w:szCs w:val="28"/>
        </w:rPr>
      </w:pPr>
    </w:p>
    <w:p w14:paraId="49529DF5" w14:textId="3A90DF4D" w:rsidR="00685D84" w:rsidRDefault="00FF40A8" w:rsidP="00261ED1">
      <w:pPr>
        <w:rPr>
          <w:szCs w:val="28"/>
        </w:rPr>
      </w:pPr>
      <w:r>
        <w:rPr>
          <w:szCs w:val="28"/>
        </w:rPr>
        <w:t xml:space="preserve">The result of 75% on 11/11/2014 at Q81, suggests that there was an unknown input, however it could equally be attributable to error margins in the gauging technique used, </w:t>
      </w:r>
      <w:r w:rsidR="0079383F">
        <w:rPr>
          <w:szCs w:val="28"/>
        </w:rPr>
        <w:t>on the same date the accountability at Hindley Wrae ford is 93%</w:t>
      </w:r>
      <w:r w:rsidR="003877C6">
        <w:rPr>
          <w:szCs w:val="28"/>
        </w:rPr>
        <w:t xml:space="preserve"> which is notably hi</w:t>
      </w:r>
      <w:r w:rsidR="00321178">
        <w:rPr>
          <w:szCs w:val="28"/>
        </w:rPr>
        <w:t>gher than on other dates. It is possible that there was rain in the upper part of the catchment which was making its way through the mine site at the time of the gaugings, this is further backe</w:t>
      </w:r>
      <w:r w:rsidR="0016551D">
        <w:rPr>
          <w:szCs w:val="28"/>
        </w:rPr>
        <w:t>d up by the second highest</w:t>
      </w:r>
      <w:r w:rsidR="00321178">
        <w:rPr>
          <w:szCs w:val="28"/>
        </w:rPr>
        <w:t xml:space="preserve"> flow </w:t>
      </w:r>
      <w:r w:rsidR="0016551D">
        <w:rPr>
          <w:szCs w:val="28"/>
        </w:rPr>
        <w:t xml:space="preserve">being recorded </w:t>
      </w:r>
      <w:r w:rsidR="00321178">
        <w:rPr>
          <w:szCs w:val="28"/>
        </w:rPr>
        <w:t>at WA7.</w:t>
      </w:r>
    </w:p>
    <w:p w14:paraId="24F3C467" w14:textId="77777777" w:rsidR="00FF40A8" w:rsidRDefault="00FF40A8" w:rsidP="00261ED1">
      <w:pPr>
        <w:rPr>
          <w:szCs w:val="28"/>
        </w:rPr>
      </w:pPr>
    </w:p>
    <w:p w14:paraId="36C26595" w14:textId="5CF9A4B7" w:rsidR="00FF40A8" w:rsidRDefault="00FF40A8" w:rsidP="00261ED1">
      <w:pPr>
        <w:rPr>
          <w:szCs w:val="28"/>
        </w:rPr>
      </w:pPr>
      <w:r>
        <w:rPr>
          <w:szCs w:val="28"/>
        </w:rPr>
        <w:t>During higher flows, Q18-37, there is a consistent unknown input of water through the</w:t>
      </w:r>
      <w:r w:rsidR="007672E7">
        <w:rPr>
          <w:szCs w:val="28"/>
        </w:rPr>
        <w:t xml:space="preserve"> mine site, this is likely to be surface water flowing over the surface of the mine site or sub-surface through the spoil or tai</w:t>
      </w:r>
      <w:r w:rsidR="0079383F">
        <w:rPr>
          <w:szCs w:val="28"/>
        </w:rPr>
        <w:t>lings.</w:t>
      </w:r>
    </w:p>
    <w:p w14:paraId="7030EA5A" w14:textId="77777777" w:rsidR="0079383F" w:rsidRDefault="0079383F" w:rsidP="00261ED1">
      <w:pPr>
        <w:rPr>
          <w:szCs w:val="28"/>
        </w:rPr>
      </w:pPr>
    </w:p>
    <w:p w14:paraId="1F9B71CA" w14:textId="2E42FFDB" w:rsidR="0079383F" w:rsidRPr="00C721B2" w:rsidRDefault="0079383F" w:rsidP="00261ED1">
      <w:pPr>
        <w:rPr>
          <w:szCs w:val="28"/>
        </w:rPr>
      </w:pPr>
      <w:r>
        <w:rPr>
          <w:szCs w:val="28"/>
        </w:rPr>
        <w:t>There is also a slight reduction in flows accounted for at low flows</w:t>
      </w:r>
      <w:r w:rsidR="00321178">
        <w:rPr>
          <w:szCs w:val="28"/>
        </w:rPr>
        <w:t xml:space="preserve">, this may be because of the fact that flows are low and there may be a greater proportion flowing </w:t>
      </w:r>
      <w:r w:rsidR="009E1D92">
        <w:rPr>
          <w:szCs w:val="28"/>
        </w:rPr>
        <w:t>in the hyporheic zone. It could also be attributable to the gauging method not being best suited to low flow conditions.</w:t>
      </w:r>
    </w:p>
    <w:p w14:paraId="57A78BFF" w14:textId="77777777" w:rsidR="00685D84" w:rsidRDefault="00685D84" w:rsidP="00261ED1">
      <w:pPr>
        <w:rPr>
          <w:b/>
          <w:sz w:val="28"/>
          <w:szCs w:val="28"/>
        </w:rPr>
      </w:pPr>
    </w:p>
    <w:p w14:paraId="51B29881" w14:textId="77777777" w:rsidR="00685D84" w:rsidRDefault="00685D84" w:rsidP="00261ED1">
      <w:pPr>
        <w:rPr>
          <w:b/>
          <w:sz w:val="28"/>
          <w:szCs w:val="28"/>
        </w:rPr>
      </w:pPr>
    </w:p>
    <w:p w14:paraId="4B916D5F" w14:textId="77777777" w:rsidR="00685D84" w:rsidRDefault="00685D84" w:rsidP="00261ED1">
      <w:pPr>
        <w:rPr>
          <w:b/>
          <w:sz w:val="28"/>
          <w:szCs w:val="28"/>
        </w:rPr>
      </w:pPr>
    </w:p>
    <w:p w14:paraId="251DAD8E" w14:textId="77777777" w:rsidR="00685D84" w:rsidRDefault="00685D84" w:rsidP="00261ED1">
      <w:pPr>
        <w:rPr>
          <w:b/>
          <w:sz w:val="28"/>
          <w:szCs w:val="28"/>
        </w:rPr>
      </w:pPr>
    </w:p>
    <w:p w14:paraId="78173E71" w14:textId="77777777" w:rsidR="00685D84" w:rsidRDefault="00685D84" w:rsidP="00261ED1">
      <w:pPr>
        <w:rPr>
          <w:b/>
          <w:sz w:val="28"/>
          <w:szCs w:val="28"/>
        </w:rPr>
      </w:pPr>
    </w:p>
    <w:p w14:paraId="5B5E41F6" w14:textId="77777777" w:rsidR="009E1D92" w:rsidRDefault="009E1D92" w:rsidP="00261ED1">
      <w:pPr>
        <w:rPr>
          <w:b/>
          <w:sz w:val="28"/>
          <w:szCs w:val="28"/>
        </w:rPr>
      </w:pPr>
    </w:p>
    <w:p w14:paraId="2EC37A80" w14:textId="77777777" w:rsidR="00685D84" w:rsidRDefault="00685D84" w:rsidP="00261ED1">
      <w:pPr>
        <w:rPr>
          <w:b/>
          <w:sz w:val="28"/>
          <w:szCs w:val="28"/>
        </w:rPr>
      </w:pPr>
    </w:p>
    <w:p w14:paraId="1C3F474F" w14:textId="77777777" w:rsidR="00685D84" w:rsidRDefault="00685D84" w:rsidP="00261ED1">
      <w:pPr>
        <w:rPr>
          <w:b/>
          <w:sz w:val="28"/>
          <w:szCs w:val="28"/>
        </w:rPr>
      </w:pPr>
    </w:p>
    <w:p w14:paraId="429F6E20" w14:textId="77777777" w:rsidR="00685D84" w:rsidRDefault="00685D84" w:rsidP="00261ED1">
      <w:pPr>
        <w:rPr>
          <w:b/>
          <w:sz w:val="28"/>
          <w:szCs w:val="28"/>
        </w:rPr>
      </w:pPr>
    </w:p>
    <w:p w14:paraId="7950A5F3" w14:textId="77777777" w:rsidR="00685D84" w:rsidRDefault="00685D84" w:rsidP="00261ED1">
      <w:pPr>
        <w:rPr>
          <w:b/>
          <w:sz w:val="28"/>
          <w:szCs w:val="28"/>
        </w:rPr>
      </w:pPr>
    </w:p>
    <w:p w14:paraId="24BB687D" w14:textId="77777777" w:rsidR="00685D84" w:rsidRDefault="00685D84" w:rsidP="00261ED1">
      <w:pPr>
        <w:rPr>
          <w:b/>
          <w:sz w:val="28"/>
          <w:szCs w:val="28"/>
        </w:rPr>
      </w:pPr>
    </w:p>
    <w:p w14:paraId="44A44BF1" w14:textId="77777777" w:rsidR="00685D84" w:rsidRDefault="00685D84" w:rsidP="00261ED1">
      <w:pPr>
        <w:rPr>
          <w:b/>
          <w:sz w:val="28"/>
          <w:szCs w:val="28"/>
        </w:rPr>
      </w:pPr>
    </w:p>
    <w:p w14:paraId="6E022FCB" w14:textId="77777777" w:rsidR="00685D84" w:rsidRDefault="00685D84" w:rsidP="00261ED1">
      <w:pPr>
        <w:rPr>
          <w:b/>
          <w:sz w:val="28"/>
          <w:szCs w:val="28"/>
        </w:rPr>
      </w:pPr>
    </w:p>
    <w:p w14:paraId="64F07761" w14:textId="77777777" w:rsidR="00685D84" w:rsidRDefault="00685D84" w:rsidP="00261ED1">
      <w:pPr>
        <w:rPr>
          <w:b/>
          <w:sz w:val="28"/>
          <w:szCs w:val="28"/>
        </w:rPr>
      </w:pPr>
    </w:p>
    <w:p w14:paraId="7820AF28" w14:textId="77777777" w:rsidR="00685D84" w:rsidRDefault="00685D84" w:rsidP="00261ED1">
      <w:pPr>
        <w:rPr>
          <w:b/>
          <w:sz w:val="28"/>
          <w:szCs w:val="28"/>
        </w:rPr>
      </w:pPr>
    </w:p>
    <w:p w14:paraId="18EC9974" w14:textId="77777777" w:rsidR="00685D84" w:rsidRDefault="00685D84" w:rsidP="00261ED1">
      <w:pPr>
        <w:rPr>
          <w:b/>
          <w:sz w:val="28"/>
          <w:szCs w:val="28"/>
        </w:rPr>
      </w:pPr>
    </w:p>
    <w:p w14:paraId="47C7BDCC" w14:textId="77777777" w:rsidR="00685D84" w:rsidRDefault="00685D84" w:rsidP="00261ED1">
      <w:pPr>
        <w:rPr>
          <w:b/>
          <w:sz w:val="28"/>
          <w:szCs w:val="28"/>
        </w:rPr>
      </w:pPr>
    </w:p>
    <w:p w14:paraId="54C91FF6" w14:textId="77777777" w:rsidR="00685D84" w:rsidRDefault="00685D84" w:rsidP="00261ED1">
      <w:pPr>
        <w:rPr>
          <w:b/>
          <w:sz w:val="28"/>
          <w:szCs w:val="28"/>
        </w:rPr>
      </w:pPr>
    </w:p>
    <w:p w14:paraId="42DC0CF0" w14:textId="77777777" w:rsidR="00685D84" w:rsidRDefault="00685D84" w:rsidP="00261ED1">
      <w:pPr>
        <w:rPr>
          <w:b/>
          <w:sz w:val="28"/>
          <w:szCs w:val="28"/>
        </w:rPr>
      </w:pPr>
    </w:p>
    <w:p w14:paraId="0EE93499" w14:textId="77777777" w:rsidR="00685D84" w:rsidRDefault="00685D84" w:rsidP="00261ED1">
      <w:pPr>
        <w:rPr>
          <w:b/>
          <w:sz w:val="28"/>
          <w:szCs w:val="28"/>
        </w:rPr>
      </w:pPr>
    </w:p>
    <w:p w14:paraId="23938A28" w14:textId="77777777" w:rsidR="00685D84" w:rsidRDefault="00685D84" w:rsidP="00261ED1">
      <w:pPr>
        <w:rPr>
          <w:b/>
          <w:sz w:val="28"/>
          <w:szCs w:val="28"/>
        </w:rPr>
      </w:pPr>
    </w:p>
    <w:p w14:paraId="6E27D953" w14:textId="77777777" w:rsidR="00685D84" w:rsidRDefault="00685D84" w:rsidP="00261ED1">
      <w:pPr>
        <w:rPr>
          <w:b/>
          <w:sz w:val="28"/>
          <w:szCs w:val="28"/>
        </w:rPr>
      </w:pPr>
    </w:p>
    <w:p w14:paraId="25FB63CC" w14:textId="7412F8BE" w:rsidR="00685D84" w:rsidRDefault="00685D84">
      <w:pPr>
        <w:jc w:val="left"/>
        <w:rPr>
          <w:b/>
          <w:sz w:val="28"/>
          <w:szCs w:val="28"/>
        </w:rPr>
      </w:pPr>
    </w:p>
    <w:p w14:paraId="47255FAB" w14:textId="77777777" w:rsidR="00685D84" w:rsidRDefault="00685D84">
      <w:pPr>
        <w:jc w:val="left"/>
        <w:rPr>
          <w:b/>
          <w:sz w:val="28"/>
          <w:szCs w:val="28"/>
        </w:rPr>
        <w:sectPr w:rsidR="00685D84" w:rsidSect="00685D84">
          <w:pgSz w:w="11906" w:h="16838" w:code="9"/>
          <w:pgMar w:top="720" w:right="720" w:bottom="720" w:left="720" w:header="567" w:footer="720" w:gutter="0"/>
          <w:cols w:space="720"/>
          <w:docGrid w:linePitch="299"/>
        </w:sectPr>
      </w:pPr>
    </w:p>
    <w:p w14:paraId="34DFF211" w14:textId="77777777" w:rsidR="005D6584" w:rsidRDefault="009E1D92" w:rsidP="00261ED1">
      <w:pPr>
        <w:rPr>
          <w:b/>
          <w:sz w:val="28"/>
          <w:szCs w:val="28"/>
        </w:rPr>
      </w:pPr>
      <w:r>
        <w:rPr>
          <w:b/>
          <w:sz w:val="28"/>
          <w:szCs w:val="28"/>
        </w:rPr>
        <w:t>R</w:t>
      </w:r>
      <w:r w:rsidR="003B71B7">
        <w:rPr>
          <w:b/>
          <w:sz w:val="28"/>
          <w:szCs w:val="28"/>
        </w:rPr>
        <w:t>esults and interpretation</w:t>
      </w:r>
    </w:p>
    <w:p w14:paraId="6511CCF9" w14:textId="23D43E86" w:rsidR="003B71B7" w:rsidRDefault="005D6584" w:rsidP="00261ED1">
      <w:pPr>
        <w:rPr>
          <w:b/>
          <w:sz w:val="28"/>
          <w:szCs w:val="28"/>
        </w:rPr>
      </w:pPr>
      <w:r w:rsidRPr="005D6584">
        <w:rPr>
          <w:noProof/>
        </w:rPr>
        <w:drawing>
          <wp:inline distT="0" distB="0" distL="0" distR="0" wp14:anchorId="54624785" wp14:editId="252F2B81">
            <wp:extent cx="8816623" cy="585574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864394" cy="5887474"/>
                    </a:xfrm>
                    <a:prstGeom prst="rect">
                      <a:avLst/>
                    </a:prstGeom>
                    <a:noFill/>
                    <a:ln>
                      <a:noFill/>
                    </a:ln>
                  </pic:spPr>
                </pic:pic>
              </a:graphicData>
            </a:graphic>
          </wp:inline>
        </w:drawing>
      </w:r>
    </w:p>
    <w:p w14:paraId="0B070230" w14:textId="252A27F2" w:rsidR="00C01506" w:rsidRDefault="00C01506" w:rsidP="00C01506">
      <w:pPr>
        <w:keepNext/>
      </w:pPr>
    </w:p>
    <w:p w14:paraId="218A1EA1" w14:textId="453E6EB9" w:rsidR="003231D2" w:rsidRDefault="00C01506" w:rsidP="00C01506">
      <w:pPr>
        <w:pStyle w:val="Caption"/>
      </w:pPr>
      <w:r>
        <w:t xml:space="preserve">Table </w:t>
      </w:r>
      <w:r w:rsidR="00E616B5">
        <w:fldChar w:fldCharType="begin"/>
      </w:r>
      <w:r w:rsidR="00E616B5">
        <w:instrText xml:space="preserve"> SEQ Table \* ARABIC </w:instrText>
      </w:r>
      <w:r w:rsidR="00E616B5">
        <w:fldChar w:fldCharType="separate"/>
      </w:r>
      <w:r w:rsidR="00990481">
        <w:rPr>
          <w:noProof/>
        </w:rPr>
        <w:t>5</w:t>
      </w:r>
      <w:r w:rsidR="00E616B5">
        <w:rPr>
          <w:noProof/>
        </w:rPr>
        <w:fldChar w:fldCharType="end"/>
      </w:r>
      <w:r>
        <w:t xml:space="preserve"> - Summary of</w:t>
      </w:r>
      <w:r w:rsidR="005D6584">
        <w:t xml:space="preserve"> concentrations and EQS concentrations</w:t>
      </w:r>
    </w:p>
    <w:p w14:paraId="11A585F1" w14:textId="77777777" w:rsidR="005D6584" w:rsidRDefault="005D6584" w:rsidP="005D6584">
      <w:pPr>
        <w:keepNext/>
      </w:pPr>
      <w:r w:rsidRPr="005D6584">
        <w:rPr>
          <w:noProof/>
        </w:rPr>
        <w:drawing>
          <wp:inline distT="0" distB="0" distL="0" distR="0" wp14:anchorId="550413C2" wp14:editId="1DA4C28A">
            <wp:extent cx="9777037" cy="611857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9777037" cy="6118578"/>
                    </a:xfrm>
                    <a:prstGeom prst="rect">
                      <a:avLst/>
                    </a:prstGeom>
                    <a:noFill/>
                    <a:ln>
                      <a:noFill/>
                    </a:ln>
                  </pic:spPr>
                </pic:pic>
              </a:graphicData>
            </a:graphic>
          </wp:inline>
        </w:drawing>
      </w:r>
    </w:p>
    <w:p w14:paraId="072A76C4" w14:textId="692C4290" w:rsidR="005D6584" w:rsidRDefault="005D6584" w:rsidP="005D6584">
      <w:pPr>
        <w:pStyle w:val="Caption"/>
      </w:pPr>
      <w:r>
        <w:t xml:space="preserve">Table </w:t>
      </w:r>
      <w:r w:rsidR="00E616B5">
        <w:fldChar w:fldCharType="begin"/>
      </w:r>
      <w:r w:rsidR="00E616B5">
        <w:instrText xml:space="preserve"> SEQ Table \* ARABIC </w:instrText>
      </w:r>
      <w:r w:rsidR="00E616B5">
        <w:fldChar w:fldCharType="separate"/>
      </w:r>
      <w:r w:rsidR="00990481">
        <w:rPr>
          <w:noProof/>
        </w:rPr>
        <w:t>6</w:t>
      </w:r>
      <w:r w:rsidR="00E616B5">
        <w:rPr>
          <w:noProof/>
        </w:rPr>
        <w:fldChar w:fldCharType="end"/>
      </w:r>
      <w:r>
        <w:t xml:space="preserve"> - Summary of loadings from each sample point</w:t>
      </w:r>
    </w:p>
    <w:p w14:paraId="55F20BF8" w14:textId="7C6F5551" w:rsidR="00B5580A" w:rsidRDefault="00C01506" w:rsidP="00261ED1">
      <w:pPr>
        <w:rPr>
          <w:szCs w:val="28"/>
        </w:rPr>
      </w:pPr>
      <w:r w:rsidRPr="00C01506">
        <w:rPr>
          <w:szCs w:val="28"/>
        </w:rPr>
        <w:t>The</w:t>
      </w:r>
      <w:r>
        <w:rPr>
          <w:szCs w:val="28"/>
        </w:rPr>
        <w:t xml:space="preserve"> table of results above, (Table </w:t>
      </w:r>
      <w:r w:rsidR="00990481">
        <w:rPr>
          <w:szCs w:val="28"/>
        </w:rPr>
        <w:t>5</w:t>
      </w:r>
      <w:r>
        <w:rPr>
          <w:szCs w:val="28"/>
        </w:rPr>
        <w:t xml:space="preserve">) show a summary of the concentrations measured at each point </w:t>
      </w:r>
      <w:r w:rsidR="00E74021">
        <w:rPr>
          <w:szCs w:val="28"/>
        </w:rPr>
        <w:t xml:space="preserve">and table </w:t>
      </w:r>
      <w:r w:rsidR="00990481">
        <w:rPr>
          <w:szCs w:val="28"/>
        </w:rPr>
        <w:t>6</w:t>
      </w:r>
      <w:r w:rsidR="00E74021">
        <w:rPr>
          <w:szCs w:val="28"/>
        </w:rPr>
        <w:t xml:space="preserve"> shows the loading summary and</w:t>
      </w:r>
      <w:r>
        <w:rPr>
          <w:szCs w:val="28"/>
        </w:rPr>
        <w:t xml:space="preserve"> how much each point contributes to WA1 and WA2, the two compliance points used for the characterisation</w:t>
      </w:r>
      <w:r w:rsidR="00FC01EA">
        <w:rPr>
          <w:szCs w:val="28"/>
        </w:rPr>
        <w:t xml:space="preserve">.  </w:t>
      </w:r>
      <w:r w:rsidR="00B5580A">
        <w:rPr>
          <w:szCs w:val="28"/>
        </w:rPr>
        <w:t xml:space="preserve">‘Scraithole’ and ‘ditch to blue row’ are shown to </w:t>
      </w:r>
      <w:r w:rsidR="00011AEB">
        <w:rPr>
          <w:szCs w:val="28"/>
        </w:rPr>
        <w:t>contribute minimal amounts of zinc to</w:t>
      </w:r>
      <w:r w:rsidR="00B5580A">
        <w:rPr>
          <w:szCs w:val="28"/>
        </w:rPr>
        <w:t xml:space="preserve"> WA2 in any flow conditions (1-5% combined) and slightly higher contribution to WA1 (0.5-19% combined). However, this falls into insignificance when compared to the contribution from the Barney Craig adit, ranging from 32-109% contribution to WA2 and 12-461% to WA1.</w:t>
      </w:r>
    </w:p>
    <w:p w14:paraId="31D648B1" w14:textId="77777777" w:rsidR="003E2961" w:rsidRDefault="003E2961" w:rsidP="00261ED1">
      <w:pPr>
        <w:rPr>
          <w:szCs w:val="28"/>
        </w:rPr>
      </w:pPr>
    </w:p>
    <w:p w14:paraId="04AF6A9F" w14:textId="03F8122F" w:rsidR="003E2961" w:rsidRDefault="003E2961" w:rsidP="00261ED1">
      <w:pPr>
        <w:rPr>
          <w:szCs w:val="28"/>
        </w:rPr>
      </w:pPr>
      <w:r>
        <w:rPr>
          <w:szCs w:val="28"/>
        </w:rPr>
        <w:t>There is a large input of zinc between WA7 and WA6 which is unquantified, the loading increases on average from 0.7kg/day to 2.1kg/day. In the lowest flows there is actually a decrease in zinc loading between the two sample points, suggesting a point source input upstream of WA7, however, in high flows, the metal load increases from 0.8kg/day to over 8kg/day. There are numerous potential sources between these two points, however, it cannot be defined by this study.</w:t>
      </w:r>
    </w:p>
    <w:p w14:paraId="72460CE2" w14:textId="77777777" w:rsidR="00011AEB" w:rsidRDefault="00011AEB" w:rsidP="00261ED1">
      <w:pPr>
        <w:rPr>
          <w:szCs w:val="28"/>
        </w:rPr>
      </w:pPr>
    </w:p>
    <w:p w14:paraId="046929D3" w14:textId="454B9F11" w:rsidR="00011AEB" w:rsidRDefault="00011AEB" w:rsidP="00261ED1">
      <w:pPr>
        <w:rPr>
          <w:szCs w:val="28"/>
        </w:rPr>
      </w:pPr>
      <w:r>
        <w:rPr>
          <w:szCs w:val="28"/>
        </w:rPr>
        <w:t>Barney Craig is clearly the most dominant input of Zinc in low flow conditions, contributing a maximum of 109% and 461% to WA2 and WA1 respectively, treatment of this discharge would make significant improvements to these two points in low flow events.  However, this pattern is not reflected in high flow events</w:t>
      </w:r>
      <w:r w:rsidR="00DC0A1A">
        <w:rPr>
          <w:szCs w:val="28"/>
        </w:rPr>
        <w:t xml:space="preserve"> when it only contributes 32% and 12% to WA2 and WA1.  The additional zinc is therefore being contributed by other sources and as can be seen below in the mass balance calculations the measured sample points account for close to 100% in all but the highest flows, the most quantifiable of these unmeasured sources is the diffuse input between WA6 and WA2 as all point sources are measured within a 500m stretch, therefore this diffuse input can be calculated by</w:t>
      </w:r>
    </w:p>
    <w:p w14:paraId="095C8269" w14:textId="77777777" w:rsidR="00581445" w:rsidRDefault="00581445" w:rsidP="00261ED1">
      <w:pPr>
        <w:rPr>
          <w:szCs w:val="28"/>
        </w:rPr>
      </w:pPr>
    </w:p>
    <w:p w14:paraId="4C2DCE87" w14:textId="7F7FDE56" w:rsidR="00B5580A" w:rsidRDefault="00DC0A1A" w:rsidP="00261ED1">
      <w:pPr>
        <w:rPr>
          <w:szCs w:val="28"/>
        </w:rPr>
      </w:pPr>
      <w:r>
        <w:rPr>
          <w:szCs w:val="28"/>
        </w:rPr>
        <w:tab/>
      </w:r>
      <w:r>
        <w:rPr>
          <w:szCs w:val="28"/>
        </w:rPr>
        <w:tab/>
        <w:t>WA2</w:t>
      </w:r>
      <w:r w:rsidR="00581445">
        <w:rPr>
          <w:szCs w:val="28"/>
        </w:rPr>
        <w:t xml:space="preserve"> </w:t>
      </w:r>
      <w:r>
        <w:rPr>
          <w:szCs w:val="28"/>
        </w:rPr>
        <w:t>-</w:t>
      </w:r>
      <w:r w:rsidR="00581445">
        <w:rPr>
          <w:szCs w:val="28"/>
        </w:rPr>
        <w:t xml:space="preserve"> </w:t>
      </w:r>
      <w:r>
        <w:rPr>
          <w:szCs w:val="28"/>
        </w:rPr>
        <w:t>WA3</w:t>
      </w:r>
      <w:r w:rsidR="00581445">
        <w:rPr>
          <w:szCs w:val="28"/>
        </w:rPr>
        <w:t xml:space="preserve"> </w:t>
      </w:r>
      <w:r>
        <w:rPr>
          <w:szCs w:val="28"/>
        </w:rPr>
        <w:t>-</w:t>
      </w:r>
      <w:r w:rsidR="00581445">
        <w:rPr>
          <w:szCs w:val="28"/>
        </w:rPr>
        <w:t xml:space="preserve"> </w:t>
      </w:r>
      <w:r>
        <w:rPr>
          <w:szCs w:val="28"/>
        </w:rPr>
        <w:t>WA4</w:t>
      </w:r>
      <w:r w:rsidR="00581445">
        <w:rPr>
          <w:szCs w:val="28"/>
        </w:rPr>
        <w:t xml:space="preserve"> </w:t>
      </w:r>
      <w:r>
        <w:rPr>
          <w:szCs w:val="28"/>
        </w:rPr>
        <w:t>-</w:t>
      </w:r>
      <w:r w:rsidR="00581445">
        <w:rPr>
          <w:szCs w:val="28"/>
        </w:rPr>
        <w:t xml:space="preserve"> </w:t>
      </w:r>
      <w:r>
        <w:rPr>
          <w:szCs w:val="28"/>
        </w:rPr>
        <w:t>WA5</w:t>
      </w:r>
      <w:r w:rsidR="00581445">
        <w:rPr>
          <w:szCs w:val="28"/>
        </w:rPr>
        <w:t xml:space="preserve"> – </w:t>
      </w:r>
      <w:r>
        <w:rPr>
          <w:szCs w:val="28"/>
        </w:rPr>
        <w:t>WA6 = WAX</w:t>
      </w:r>
      <w:r w:rsidR="00990481">
        <w:rPr>
          <w:szCs w:val="28"/>
        </w:rPr>
        <w:t>7</w:t>
      </w:r>
    </w:p>
    <w:p w14:paraId="1458F9B9" w14:textId="6FFB66BA" w:rsidR="00B5580A" w:rsidRDefault="00581445" w:rsidP="00261ED1">
      <w:pPr>
        <w:rPr>
          <w:szCs w:val="28"/>
        </w:rPr>
      </w:pPr>
      <w:r>
        <w:rPr>
          <w:szCs w:val="28"/>
        </w:rPr>
        <w:t>This calculation was performed for loadings and percentage contributions for each metal, total and dissolved, the results are summaris</w:t>
      </w:r>
      <w:r w:rsidR="00E74021">
        <w:rPr>
          <w:szCs w:val="28"/>
        </w:rPr>
        <w:t xml:space="preserve">ed in table </w:t>
      </w:r>
      <w:r w:rsidR="00990481">
        <w:rPr>
          <w:szCs w:val="28"/>
        </w:rPr>
        <w:t>7</w:t>
      </w:r>
      <w:r>
        <w:rPr>
          <w:szCs w:val="28"/>
        </w:rPr>
        <w:t xml:space="preserve"> below</w:t>
      </w:r>
      <w:r w:rsidR="00E74021">
        <w:rPr>
          <w:szCs w:val="28"/>
        </w:rPr>
        <w:t>.</w:t>
      </w:r>
    </w:p>
    <w:p w14:paraId="6BB64B2E" w14:textId="77777777" w:rsidR="00581445" w:rsidRDefault="00581445" w:rsidP="00261ED1">
      <w:pPr>
        <w:rPr>
          <w:szCs w:val="28"/>
        </w:rPr>
      </w:pPr>
    </w:p>
    <w:p w14:paraId="5D841BF9" w14:textId="77777777" w:rsidR="00990481" w:rsidRDefault="00A5409F" w:rsidP="00990481">
      <w:pPr>
        <w:keepNext/>
      </w:pPr>
      <w:r w:rsidRPr="00A5409F">
        <w:rPr>
          <w:noProof/>
        </w:rPr>
        <w:drawing>
          <wp:inline distT="0" distB="0" distL="0" distR="0" wp14:anchorId="7AE34A55" wp14:editId="54C7F755">
            <wp:extent cx="9775716" cy="167075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790477" cy="1673279"/>
                    </a:xfrm>
                    <a:prstGeom prst="rect">
                      <a:avLst/>
                    </a:prstGeom>
                    <a:noFill/>
                    <a:ln>
                      <a:noFill/>
                    </a:ln>
                  </pic:spPr>
                </pic:pic>
              </a:graphicData>
            </a:graphic>
          </wp:inline>
        </w:drawing>
      </w:r>
    </w:p>
    <w:p w14:paraId="4B6F1706" w14:textId="602A7574" w:rsidR="00581445" w:rsidRDefault="00990481" w:rsidP="00990481">
      <w:pPr>
        <w:pStyle w:val="Caption"/>
        <w:rPr>
          <w:szCs w:val="28"/>
        </w:rPr>
      </w:pPr>
      <w:r>
        <w:t xml:space="preserve">Table </w:t>
      </w:r>
      <w:r w:rsidR="00E616B5">
        <w:fldChar w:fldCharType="begin"/>
      </w:r>
      <w:r w:rsidR="00E616B5">
        <w:instrText xml:space="preserve"> SEQ Table \* ARABIC </w:instrText>
      </w:r>
      <w:r w:rsidR="00E616B5">
        <w:fldChar w:fldCharType="separate"/>
      </w:r>
      <w:r>
        <w:rPr>
          <w:noProof/>
        </w:rPr>
        <w:t>7</w:t>
      </w:r>
      <w:r w:rsidR="00E616B5">
        <w:rPr>
          <w:noProof/>
        </w:rPr>
        <w:fldChar w:fldCharType="end"/>
      </w:r>
      <w:r>
        <w:t xml:space="preserve"> - calculated diffuse input from mine site</w:t>
      </w:r>
    </w:p>
    <w:p w14:paraId="70EE65C7" w14:textId="77777777" w:rsidR="00C01506" w:rsidRDefault="00C01506" w:rsidP="00261ED1">
      <w:pPr>
        <w:rPr>
          <w:b/>
          <w:szCs w:val="28"/>
        </w:rPr>
      </w:pPr>
    </w:p>
    <w:p w14:paraId="1596F24F" w14:textId="2AC13650" w:rsidR="00C57CF9" w:rsidRDefault="00E74021" w:rsidP="00261ED1">
      <w:pPr>
        <w:rPr>
          <w:b/>
          <w:szCs w:val="28"/>
        </w:rPr>
      </w:pPr>
      <w:r w:rsidRPr="00E74021">
        <w:rPr>
          <w:szCs w:val="28"/>
        </w:rPr>
        <w:t>The</w:t>
      </w:r>
      <w:r>
        <w:rPr>
          <w:b/>
          <w:szCs w:val="28"/>
        </w:rPr>
        <w:t xml:space="preserve"> </w:t>
      </w:r>
      <w:r w:rsidRPr="00E74021">
        <w:rPr>
          <w:szCs w:val="28"/>
        </w:rPr>
        <w:t>mini</w:t>
      </w:r>
      <w:r>
        <w:rPr>
          <w:szCs w:val="28"/>
        </w:rPr>
        <w:t>mum figures shown are of little consequence because of the negative values, in reality there is likely to be a small input from the diffuse sources through the mine site in low flows but they are insignificant compared to the measured sample points.  The maximum and average figures, however do give some idea of the importance of diffuse inputs from the mine site</w:t>
      </w:r>
      <w:r w:rsidR="004306E6">
        <w:rPr>
          <w:szCs w:val="28"/>
        </w:rPr>
        <w:t xml:space="preserve"> with 40% of zinc and cadmium being derived from this unmeasured source in high flows</w:t>
      </w:r>
      <w:r w:rsidR="00695ACE">
        <w:rPr>
          <w:szCs w:val="28"/>
        </w:rPr>
        <w:t>.</w:t>
      </w:r>
      <w:r>
        <w:rPr>
          <w:szCs w:val="28"/>
        </w:rPr>
        <w:t xml:space="preserve"> The diffuse sources cannot be distinguished between dressing floor, tailings dam</w:t>
      </w:r>
      <w:r w:rsidR="004306E6">
        <w:rPr>
          <w:szCs w:val="28"/>
        </w:rPr>
        <w:t>,</w:t>
      </w:r>
      <w:r>
        <w:rPr>
          <w:szCs w:val="28"/>
        </w:rPr>
        <w:t xml:space="preserve"> spoil or groundwater input, however, </w:t>
      </w:r>
      <w:r w:rsidR="004306E6">
        <w:rPr>
          <w:szCs w:val="28"/>
        </w:rPr>
        <w:t>it does show that interventions are required in this area to allow the EQS to be achieved.</w:t>
      </w:r>
    </w:p>
    <w:p w14:paraId="64EF272B" w14:textId="3C2E80DA" w:rsidR="00017FA2" w:rsidRPr="00CA5CE9" w:rsidRDefault="00017FA2" w:rsidP="00261ED1">
      <w:pPr>
        <w:rPr>
          <w:b/>
          <w:szCs w:val="28"/>
        </w:rPr>
      </w:pPr>
      <w:r w:rsidRPr="00CA5CE9">
        <w:rPr>
          <w:b/>
          <w:szCs w:val="28"/>
        </w:rPr>
        <w:t>Mass balances</w:t>
      </w:r>
    </w:p>
    <w:p w14:paraId="4A775D32" w14:textId="77777777" w:rsidR="00017FA2" w:rsidRPr="00017FA2" w:rsidRDefault="00017FA2" w:rsidP="00261ED1">
      <w:pPr>
        <w:rPr>
          <w:b/>
          <w:sz w:val="28"/>
          <w:szCs w:val="28"/>
        </w:rPr>
      </w:pPr>
    </w:p>
    <w:p w14:paraId="271CCA8F" w14:textId="2CC5113C" w:rsidR="009E1D92" w:rsidRDefault="009E1D92" w:rsidP="00261ED1">
      <w:pPr>
        <w:rPr>
          <w:szCs w:val="22"/>
        </w:rPr>
      </w:pPr>
      <w:r w:rsidRPr="009E1D92">
        <w:rPr>
          <w:szCs w:val="22"/>
        </w:rPr>
        <w:t>Using the</w:t>
      </w:r>
      <w:r>
        <w:rPr>
          <w:szCs w:val="22"/>
        </w:rPr>
        <w:t xml:space="preserve"> informati</w:t>
      </w:r>
      <w:r w:rsidR="00017FA2">
        <w:rPr>
          <w:szCs w:val="22"/>
        </w:rPr>
        <w:t>on gathered, and summarised in</w:t>
      </w:r>
      <w:r>
        <w:rPr>
          <w:szCs w:val="22"/>
        </w:rPr>
        <w:t xml:space="preserve"> table</w:t>
      </w:r>
      <w:r w:rsidR="00990481">
        <w:rPr>
          <w:szCs w:val="22"/>
        </w:rPr>
        <w:t>s</w:t>
      </w:r>
      <w:r w:rsidR="00017FA2">
        <w:rPr>
          <w:szCs w:val="22"/>
        </w:rPr>
        <w:t xml:space="preserve"> </w:t>
      </w:r>
      <w:r w:rsidR="00990481">
        <w:rPr>
          <w:szCs w:val="22"/>
        </w:rPr>
        <w:t>5</w:t>
      </w:r>
      <w:r w:rsidR="00017FA2">
        <w:rPr>
          <w:szCs w:val="22"/>
        </w:rPr>
        <w:t>,</w:t>
      </w:r>
      <w:r>
        <w:rPr>
          <w:szCs w:val="22"/>
        </w:rPr>
        <w:t xml:space="preserve"> above</w:t>
      </w:r>
      <w:r w:rsidR="00017FA2">
        <w:rPr>
          <w:szCs w:val="22"/>
        </w:rPr>
        <w:t>,</w:t>
      </w:r>
      <w:r>
        <w:rPr>
          <w:szCs w:val="22"/>
        </w:rPr>
        <w:t xml:space="preserve"> the metal loadings were calculated for Zinc (Zn), Cadmium (Cd) and Lead (Pb)</w:t>
      </w:r>
      <w:r w:rsidR="00017FA2">
        <w:rPr>
          <w:szCs w:val="22"/>
        </w:rPr>
        <w:t xml:space="preserve"> using the equations: </w:t>
      </w:r>
    </w:p>
    <w:p w14:paraId="420ED63E" w14:textId="55689B23" w:rsidR="00017FA2" w:rsidRPr="00017FA2" w:rsidRDefault="00017FA2" w:rsidP="00017FA2">
      <w:pPr>
        <w:pStyle w:val="ListParagraph"/>
        <w:numPr>
          <w:ilvl w:val="0"/>
          <w:numId w:val="24"/>
        </w:numPr>
        <w:rPr>
          <w:szCs w:val="22"/>
        </w:rPr>
      </w:pPr>
      <w:r w:rsidRPr="00017FA2">
        <w:rPr>
          <w:szCs w:val="22"/>
        </w:rPr>
        <w:t>Loading (kg/day) = (Dissolved concentration (ug/l) * flow (l/s)) * 0.0000864</w:t>
      </w:r>
    </w:p>
    <w:p w14:paraId="603F2978" w14:textId="77777777" w:rsidR="00017FA2" w:rsidRDefault="00017FA2" w:rsidP="00261ED1">
      <w:pPr>
        <w:rPr>
          <w:szCs w:val="22"/>
        </w:rPr>
      </w:pPr>
    </w:p>
    <w:p w14:paraId="4F4CC30D" w14:textId="3B2C9E8D" w:rsidR="00017FA2" w:rsidRPr="00017FA2" w:rsidRDefault="00017FA2" w:rsidP="00017FA2">
      <w:pPr>
        <w:pStyle w:val="ListParagraph"/>
        <w:numPr>
          <w:ilvl w:val="0"/>
          <w:numId w:val="24"/>
        </w:numPr>
        <w:rPr>
          <w:szCs w:val="22"/>
        </w:rPr>
      </w:pPr>
      <w:r w:rsidRPr="00017FA2">
        <w:rPr>
          <w:szCs w:val="22"/>
        </w:rPr>
        <w:t>Loading (g/day)   = (Dissolved concentration (ug/l) * flow (l/s)) * 0.0864</w:t>
      </w:r>
    </w:p>
    <w:p w14:paraId="3E379DFB" w14:textId="77777777" w:rsidR="00017FA2" w:rsidRPr="009E1D92" w:rsidRDefault="00017FA2" w:rsidP="00261ED1">
      <w:pPr>
        <w:rPr>
          <w:szCs w:val="22"/>
        </w:rPr>
      </w:pPr>
    </w:p>
    <w:p w14:paraId="58923B10" w14:textId="6C482EB8" w:rsidR="00017FA2" w:rsidRDefault="00017FA2" w:rsidP="00261ED1">
      <w:pPr>
        <w:rPr>
          <w:szCs w:val="22"/>
        </w:rPr>
      </w:pPr>
      <w:r>
        <w:rPr>
          <w:szCs w:val="22"/>
        </w:rPr>
        <w:t>The following formula were then used to calculate the mass balances for each main river sample point for each metal:</w:t>
      </w:r>
    </w:p>
    <w:p w14:paraId="1C8149A2" w14:textId="77777777" w:rsidR="00017FA2" w:rsidRPr="00017FA2" w:rsidRDefault="00017FA2" w:rsidP="00017FA2">
      <w:pPr>
        <w:pStyle w:val="ListParagraph"/>
        <w:numPr>
          <w:ilvl w:val="0"/>
          <w:numId w:val="27"/>
        </w:numPr>
        <w:rPr>
          <w:szCs w:val="22"/>
        </w:rPr>
      </w:pPr>
      <w:r w:rsidRPr="00017FA2">
        <w:rPr>
          <w:szCs w:val="22"/>
        </w:rPr>
        <w:t>WA7 = WA6</w:t>
      </w:r>
    </w:p>
    <w:p w14:paraId="26F2955C" w14:textId="77777777" w:rsidR="00017FA2" w:rsidRPr="00017FA2" w:rsidRDefault="00017FA2" w:rsidP="00017FA2">
      <w:pPr>
        <w:pStyle w:val="ListParagraph"/>
        <w:numPr>
          <w:ilvl w:val="0"/>
          <w:numId w:val="27"/>
        </w:numPr>
        <w:rPr>
          <w:szCs w:val="22"/>
        </w:rPr>
      </w:pPr>
      <w:r w:rsidRPr="00017FA2">
        <w:rPr>
          <w:szCs w:val="22"/>
        </w:rPr>
        <w:t>WA6 +WA5 + WA4 + WA3 = WA2</w:t>
      </w:r>
    </w:p>
    <w:p w14:paraId="4358BC2B" w14:textId="77777777" w:rsidR="00017FA2" w:rsidRPr="00017FA2" w:rsidRDefault="00017FA2" w:rsidP="00017FA2">
      <w:pPr>
        <w:pStyle w:val="ListParagraph"/>
        <w:numPr>
          <w:ilvl w:val="0"/>
          <w:numId w:val="27"/>
        </w:numPr>
        <w:rPr>
          <w:szCs w:val="22"/>
        </w:rPr>
      </w:pPr>
      <w:r w:rsidRPr="00017FA2">
        <w:rPr>
          <w:szCs w:val="22"/>
        </w:rPr>
        <w:t>WA2 = WA1</w:t>
      </w:r>
    </w:p>
    <w:p w14:paraId="1EDC3F9A" w14:textId="77777777" w:rsidR="00017FA2" w:rsidRPr="00017FA2" w:rsidRDefault="00017FA2" w:rsidP="00261ED1">
      <w:pPr>
        <w:rPr>
          <w:szCs w:val="22"/>
        </w:rPr>
      </w:pPr>
    </w:p>
    <w:p w14:paraId="43D3F1C4" w14:textId="77777777" w:rsidR="00990481" w:rsidRDefault="0016551D" w:rsidP="00990481">
      <w:pPr>
        <w:keepNext/>
      </w:pPr>
      <w:r w:rsidRPr="0016551D">
        <w:rPr>
          <w:noProof/>
        </w:rPr>
        <w:drawing>
          <wp:inline distT="0" distB="0" distL="0" distR="0" wp14:anchorId="51475064" wp14:editId="1668517F">
            <wp:extent cx="8757920" cy="24384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757920" cy="2438400"/>
                    </a:xfrm>
                    <a:prstGeom prst="rect">
                      <a:avLst/>
                    </a:prstGeom>
                    <a:noFill/>
                    <a:ln>
                      <a:noFill/>
                    </a:ln>
                  </pic:spPr>
                </pic:pic>
              </a:graphicData>
            </a:graphic>
          </wp:inline>
        </w:drawing>
      </w:r>
    </w:p>
    <w:p w14:paraId="1113189F" w14:textId="44864924" w:rsidR="009E1D92" w:rsidRDefault="00990481" w:rsidP="00990481">
      <w:pPr>
        <w:pStyle w:val="Caption"/>
        <w:rPr>
          <w:b w:val="0"/>
          <w:sz w:val="28"/>
          <w:szCs w:val="28"/>
        </w:rPr>
      </w:pPr>
      <w:r>
        <w:t xml:space="preserve">Table </w:t>
      </w:r>
      <w:r w:rsidR="00E616B5">
        <w:fldChar w:fldCharType="begin"/>
      </w:r>
      <w:r w:rsidR="00E616B5">
        <w:instrText xml:space="preserve"> SEQ Table \* ARABIC </w:instrText>
      </w:r>
      <w:r w:rsidR="00E616B5">
        <w:fldChar w:fldCharType="separate"/>
      </w:r>
      <w:r>
        <w:rPr>
          <w:noProof/>
        </w:rPr>
        <w:t>8</w:t>
      </w:r>
      <w:r w:rsidR="00E616B5">
        <w:rPr>
          <w:noProof/>
        </w:rPr>
        <w:fldChar w:fldCharType="end"/>
      </w:r>
      <w:r>
        <w:t xml:space="preserve"> - Zinc mass balance calculations</w:t>
      </w:r>
    </w:p>
    <w:p w14:paraId="36F6E496" w14:textId="77777777" w:rsidR="00BA3C1F" w:rsidRDefault="00BA3C1F" w:rsidP="00261ED1">
      <w:pPr>
        <w:rPr>
          <w:b/>
          <w:sz w:val="28"/>
          <w:szCs w:val="28"/>
        </w:rPr>
      </w:pPr>
    </w:p>
    <w:p w14:paraId="28352C93" w14:textId="53EFF0D4" w:rsidR="00017FA2" w:rsidRPr="00BA3C1F" w:rsidRDefault="00BA3C1F" w:rsidP="00261ED1">
      <w:pPr>
        <w:rPr>
          <w:szCs w:val="28"/>
        </w:rPr>
      </w:pPr>
      <w:r w:rsidRPr="00BA3C1F">
        <w:rPr>
          <w:szCs w:val="28"/>
        </w:rPr>
        <w:t>WA6</w:t>
      </w:r>
    </w:p>
    <w:p w14:paraId="6E4A90F3" w14:textId="43209DB1" w:rsidR="004A092B" w:rsidRDefault="004A092B" w:rsidP="00261ED1">
      <w:pPr>
        <w:rPr>
          <w:szCs w:val="22"/>
        </w:rPr>
      </w:pPr>
      <w:r>
        <w:rPr>
          <w:szCs w:val="22"/>
        </w:rPr>
        <w:t>The mass balance calculations for WA6 and WA1 are limited in the same way the flow balances were as there is only one upstream sample point available</w:t>
      </w:r>
      <w:r w:rsidR="0004334B">
        <w:rPr>
          <w:szCs w:val="22"/>
        </w:rPr>
        <w:t xml:space="preserve"> to compare.</w:t>
      </w:r>
      <w:r w:rsidR="00B66793">
        <w:rPr>
          <w:szCs w:val="22"/>
        </w:rPr>
        <w:t xml:space="preserve">  The contributions of WA7 to WA6 increase as the flows reduce suggesting that additional sources</w:t>
      </w:r>
      <w:r w:rsidR="0016551D">
        <w:rPr>
          <w:szCs w:val="22"/>
        </w:rPr>
        <w:t xml:space="preserve"> between the two points</w:t>
      </w:r>
      <w:r w:rsidR="00B66793">
        <w:rPr>
          <w:szCs w:val="22"/>
        </w:rPr>
        <w:t xml:space="preserve"> are mobilised in higher flows. However, the numbers are relatively low and small variations can account for a greater percentage change. The zinc upstream of WA7 is largely attributable to the Coal cleugh adit, </w:t>
      </w:r>
      <w:r w:rsidR="00DE56B5">
        <w:rPr>
          <w:szCs w:val="22"/>
        </w:rPr>
        <w:t>as found from a subsequent, smaller study of coal cleugh in 2016, this</w:t>
      </w:r>
      <w:r w:rsidR="00B66793">
        <w:rPr>
          <w:szCs w:val="22"/>
        </w:rPr>
        <w:t xml:space="preserve"> suggests that </w:t>
      </w:r>
      <w:r w:rsidR="00DE56B5">
        <w:rPr>
          <w:szCs w:val="22"/>
        </w:rPr>
        <w:t>the adit</w:t>
      </w:r>
      <w:r w:rsidR="00B66793">
        <w:rPr>
          <w:szCs w:val="22"/>
        </w:rPr>
        <w:t xml:space="preserve"> is a key input affecting the concentrations at WA6</w:t>
      </w:r>
      <w:r w:rsidR="00324B63">
        <w:rPr>
          <w:szCs w:val="22"/>
        </w:rPr>
        <w:t>, especially in lower flows.</w:t>
      </w:r>
    </w:p>
    <w:p w14:paraId="3CBFC8EF" w14:textId="77777777" w:rsidR="00324B63" w:rsidRDefault="00324B63" w:rsidP="00261ED1">
      <w:pPr>
        <w:rPr>
          <w:szCs w:val="22"/>
        </w:rPr>
      </w:pPr>
    </w:p>
    <w:p w14:paraId="739D4923" w14:textId="77777777" w:rsidR="00990481" w:rsidRDefault="00990481" w:rsidP="00261ED1">
      <w:pPr>
        <w:rPr>
          <w:szCs w:val="22"/>
        </w:rPr>
      </w:pPr>
    </w:p>
    <w:p w14:paraId="248C4D32" w14:textId="2DCAC455" w:rsidR="00324B63" w:rsidRDefault="00324B63" w:rsidP="00261ED1">
      <w:pPr>
        <w:rPr>
          <w:szCs w:val="22"/>
        </w:rPr>
      </w:pPr>
      <w:r>
        <w:rPr>
          <w:szCs w:val="22"/>
        </w:rPr>
        <w:t>WA2</w:t>
      </w:r>
    </w:p>
    <w:p w14:paraId="357A3EDF" w14:textId="28D78D3C" w:rsidR="00324B63" w:rsidRDefault="006038B6" w:rsidP="00261ED1">
      <w:pPr>
        <w:rPr>
          <w:szCs w:val="22"/>
        </w:rPr>
      </w:pPr>
      <w:r>
        <w:rPr>
          <w:szCs w:val="22"/>
        </w:rPr>
        <w:t>The amount accounted for by the measured sample points fluctuates between 85 and 115% in lower flows with no definitive trend</w:t>
      </w:r>
      <w:r w:rsidR="00062980">
        <w:rPr>
          <w:szCs w:val="22"/>
        </w:rPr>
        <w:t>, this may be related to general fluctuation in the zinc load through the site. However, when</w:t>
      </w:r>
      <w:r>
        <w:rPr>
          <w:szCs w:val="22"/>
        </w:rPr>
        <w:t xml:space="preserve"> flows</w:t>
      </w:r>
      <w:r w:rsidR="00062980">
        <w:rPr>
          <w:szCs w:val="22"/>
        </w:rPr>
        <w:t xml:space="preserve"> increase to around</w:t>
      </w:r>
      <w:r>
        <w:rPr>
          <w:szCs w:val="22"/>
        </w:rPr>
        <w:t xml:space="preserve"> Q37, there is a </w:t>
      </w:r>
      <w:r w:rsidR="00062980">
        <w:rPr>
          <w:szCs w:val="22"/>
        </w:rPr>
        <w:t xml:space="preserve">downward </w:t>
      </w:r>
      <w:r>
        <w:rPr>
          <w:szCs w:val="22"/>
        </w:rPr>
        <w:t>step change</w:t>
      </w:r>
      <w:r w:rsidR="00062980">
        <w:rPr>
          <w:szCs w:val="22"/>
        </w:rPr>
        <w:t xml:space="preserve"> in percent accounted for</w:t>
      </w:r>
      <w:r>
        <w:rPr>
          <w:szCs w:val="22"/>
        </w:rPr>
        <w:t xml:space="preserve"> at this point that is maintained through Q21 and Q18 flows.</w:t>
      </w:r>
      <w:r w:rsidR="00062980">
        <w:rPr>
          <w:szCs w:val="22"/>
        </w:rPr>
        <w:t xml:space="preserve"> This is consistent with additional sources becoming mobilised in higher flows, which is to be expected due to the nature of the site with spoil heaps and tailings dams lining the watercourse. </w:t>
      </w:r>
      <w:r w:rsidR="005E5CC0">
        <w:rPr>
          <w:szCs w:val="22"/>
        </w:rPr>
        <w:t>Barney Craig is consistently the major contributor of zinc through this section of the watercourse</w:t>
      </w:r>
      <w:r w:rsidR="00C844DD">
        <w:rPr>
          <w:szCs w:val="22"/>
        </w:rPr>
        <w:t>. This is backed up by the results in table</w:t>
      </w:r>
      <w:r w:rsidR="00C844DD" w:rsidRPr="00C844DD">
        <w:rPr>
          <w:color w:val="FF0000"/>
          <w:szCs w:val="22"/>
        </w:rPr>
        <w:t xml:space="preserve"> </w:t>
      </w:r>
      <w:r w:rsidR="00990481" w:rsidRPr="00990481">
        <w:rPr>
          <w:szCs w:val="22"/>
        </w:rPr>
        <w:t>6</w:t>
      </w:r>
      <w:r w:rsidR="005041B1" w:rsidRPr="00990481">
        <w:rPr>
          <w:szCs w:val="22"/>
        </w:rPr>
        <w:t xml:space="preserve"> </w:t>
      </w:r>
      <w:r w:rsidR="005041B1">
        <w:rPr>
          <w:szCs w:val="22"/>
        </w:rPr>
        <w:t>showing that B</w:t>
      </w:r>
      <w:r w:rsidR="00C844DD">
        <w:rPr>
          <w:szCs w:val="22"/>
        </w:rPr>
        <w:t xml:space="preserve">arney </w:t>
      </w:r>
      <w:r w:rsidR="005041B1">
        <w:rPr>
          <w:szCs w:val="22"/>
        </w:rPr>
        <w:t>C</w:t>
      </w:r>
      <w:r w:rsidR="00C844DD">
        <w:rPr>
          <w:szCs w:val="22"/>
        </w:rPr>
        <w:t>raig</w:t>
      </w:r>
      <w:r w:rsidR="005E5CC0">
        <w:rPr>
          <w:szCs w:val="22"/>
        </w:rPr>
        <w:t xml:space="preserve"> alone on average accounts for 75</w:t>
      </w:r>
      <w:r w:rsidR="00C844DD">
        <w:rPr>
          <w:szCs w:val="22"/>
        </w:rPr>
        <w:t>%</w:t>
      </w:r>
      <w:r w:rsidR="005E5CC0">
        <w:rPr>
          <w:szCs w:val="22"/>
        </w:rPr>
        <w:t xml:space="preserve"> (32-109%)</w:t>
      </w:r>
      <w:r w:rsidR="00C844DD">
        <w:rPr>
          <w:szCs w:val="22"/>
        </w:rPr>
        <w:t xml:space="preserve"> of the Zinc that arrives at WA2.</w:t>
      </w:r>
    </w:p>
    <w:p w14:paraId="12EC14DC" w14:textId="77777777" w:rsidR="00BA3C1F" w:rsidRDefault="00BA3C1F" w:rsidP="00261ED1">
      <w:pPr>
        <w:rPr>
          <w:szCs w:val="22"/>
        </w:rPr>
      </w:pPr>
    </w:p>
    <w:p w14:paraId="05E8ED9A" w14:textId="3C7D9A1E" w:rsidR="00BA3C1F" w:rsidRDefault="00BA3C1F" w:rsidP="00261ED1">
      <w:pPr>
        <w:rPr>
          <w:szCs w:val="22"/>
        </w:rPr>
      </w:pPr>
      <w:r>
        <w:rPr>
          <w:szCs w:val="22"/>
        </w:rPr>
        <w:t>WA1</w:t>
      </w:r>
    </w:p>
    <w:p w14:paraId="38AC13BA" w14:textId="2F6466DC" w:rsidR="00BA3C1F" w:rsidRDefault="00BA3C1F" w:rsidP="00261ED1">
      <w:pPr>
        <w:rPr>
          <w:szCs w:val="22"/>
        </w:rPr>
      </w:pPr>
      <w:r>
        <w:rPr>
          <w:szCs w:val="22"/>
        </w:rPr>
        <w:t>There is a clear increase in the amount of zinc that originates upstream of WA2 as the flow</w:t>
      </w:r>
      <w:r w:rsidR="00460E46">
        <w:rPr>
          <w:szCs w:val="22"/>
        </w:rPr>
        <w:t>s</w:t>
      </w:r>
      <w:r>
        <w:rPr>
          <w:szCs w:val="22"/>
        </w:rPr>
        <w:t xml:space="preserve"> decrease with </w:t>
      </w:r>
      <w:r w:rsidR="00460E46">
        <w:rPr>
          <w:szCs w:val="22"/>
        </w:rPr>
        <w:t xml:space="preserve">upto 425% of zinc load originating upstream of WA2 In low flow. Conversely in high flows this percentage falls as low as 37%.  There are </w:t>
      </w:r>
      <w:r w:rsidR="005E5CC0">
        <w:rPr>
          <w:szCs w:val="22"/>
        </w:rPr>
        <w:t>3 potential sources for this diff</w:t>
      </w:r>
      <w:r w:rsidR="00460E46">
        <w:rPr>
          <w:szCs w:val="22"/>
        </w:rPr>
        <w:t>use pollution, sediment re-suspension and remobilisation, surface run off from spoil heaps and input from groundwater.</w:t>
      </w:r>
      <w:r w:rsidR="005E5CC0">
        <w:rPr>
          <w:szCs w:val="22"/>
        </w:rPr>
        <w:t xml:space="preserve"> It is likely to be a combination of all of these factors, however. Gozzard, 2008, identified</w:t>
      </w:r>
      <w:r w:rsidR="00460E46">
        <w:rPr>
          <w:szCs w:val="22"/>
        </w:rPr>
        <w:t xml:space="preserve"> </w:t>
      </w:r>
      <w:r w:rsidR="005E5CC0">
        <w:rPr>
          <w:szCs w:val="22"/>
        </w:rPr>
        <w:t>r</w:t>
      </w:r>
      <w:r w:rsidR="00460E46">
        <w:rPr>
          <w:szCs w:val="22"/>
        </w:rPr>
        <w:t>e</w:t>
      </w:r>
      <w:r w:rsidR="009C546D">
        <w:rPr>
          <w:szCs w:val="22"/>
        </w:rPr>
        <w:t>-</w:t>
      </w:r>
      <w:r w:rsidR="00460E46">
        <w:rPr>
          <w:szCs w:val="22"/>
        </w:rPr>
        <w:t>suspension and remobilisation</w:t>
      </w:r>
      <w:r w:rsidR="009C546D">
        <w:rPr>
          <w:szCs w:val="22"/>
        </w:rPr>
        <w:t xml:space="preserve"> of sediment </w:t>
      </w:r>
      <w:r w:rsidR="00460E46">
        <w:rPr>
          <w:szCs w:val="22"/>
        </w:rPr>
        <w:t xml:space="preserve">as an important factor in </w:t>
      </w:r>
      <w:r w:rsidR="00A0423F">
        <w:rPr>
          <w:szCs w:val="22"/>
        </w:rPr>
        <w:t>the increase of zinc loading in the West Allen</w:t>
      </w:r>
      <w:r w:rsidR="009C546D">
        <w:rPr>
          <w:szCs w:val="22"/>
        </w:rPr>
        <w:t>.</w:t>
      </w:r>
    </w:p>
    <w:p w14:paraId="0FB05F96" w14:textId="77777777" w:rsidR="00C844DD" w:rsidRDefault="00C844DD" w:rsidP="00261ED1">
      <w:pPr>
        <w:rPr>
          <w:szCs w:val="22"/>
        </w:rPr>
      </w:pPr>
    </w:p>
    <w:p w14:paraId="17001A62" w14:textId="77777777" w:rsidR="00C844DD" w:rsidRPr="004A092B" w:rsidRDefault="00C844DD" w:rsidP="00261ED1">
      <w:pPr>
        <w:rPr>
          <w:szCs w:val="22"/>
        </w:rPr>
      </w:pPr>
    </w:p>
    <w:p w14:paraId="2BE6B2FE" w14:textId="77777777" w:rsidR="00990481" w:rsidRDefault="005E5CC0" w:rsidP="00990481">
      <w:pPr>
        <w:keepNext/>
      </w:pPr>
      <w:r w:rsidRPr="005E5CC0">
        <w:rPr>
          <w:noProof/>
        </w:rPr>
        <w:drawing>
          <wp:inline distT="0" distB="0" distL="0" distR="0" wp14:anchorId="12210B8A" wp14:editId="3B0B31E7">
            <wp:extent cx="8757920" cy="24384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757920" cy="2438400"/>
                    </a:xfrm>
                    <a:prstGeom prst="rect">
                      <a:avLst/>
                    </a:prstGeom>
                    <a:noFill/>
                    <a:ln>
                      <a:noFill/>
                    </a:ln>
                  </pic:spPr>
                </pic:pic>
              </a:graphicData>
            </a:graphic>
          </wp:inline>
        </w:drawing>
      </w:r>
    </w:p>
    <w:p w14:paraId="1AFBD441" w14:textId="2B48D38F" w:rsidR="00017FA2" w:rsidRDefault="00990481" w:rsidP="00990481">
      <w:pPr>
        <w:pStyle w:val="Caption"/>
        <w:rPr>
          <w:b w:val="0"/>
          <w:sz w:val="28"/>
          <w:szCs w:val="28"/>
        </w:rPr>
      </w:pPr>
      <w:r>
        <w:t xml:space="preserve">Table </w:t>
      </w:r>
      <w:r w:rsidR="00E616B5">
        <w:fldChar w:fldCharType="begin"/>
      </w:r>
      <w:r w:rsidR="00E616B5">
        <w:instrText xml:space="preserve"> SEQ Table \* ARABIC </w:instrText>
      </w:r>
      <w:r w:rsidR="00E616B5">
        <w:fldChar w:fldCharType="separate"/>
      </w:r>
      <w:r>
        <w:rPr>
          <w:noProof/>
        </w:rPr>
        <w:t>9</w:t>
      </w:r>
      <w:r w:rsidR="00E616B5">
        <w:rPr>
          <w:noProof/>
        </w:rPr>
        <w:fldChar w:fldCharType="end"/>
      </w:r>
      <w:r>
        <w:t xml:space="preserve"> -Cadmium mass balance calculations</w:t>
      </w:r>
    </w:p>
    <w:p w14:paraId="169396D6" w14:textId="77777777" w:rsidR="009E1D92" w:rsidRDefault="009E1D92" w:rsidP="00261ED1">
      <w:pPr>
        <w:rPr>
          <w:b/>
          <w:sz w:val="28"/>
          <w:szCs w:val="28"/>
        </w:rPr>
      </w:pPr>
    </w:p>
    <w:p w14:paraId="5FFE107F" w14:textId="161BBCFC" w:rsidR="00062980" w:rsidRPr="00062980" w:rsidRDefault="00062980" w:rsidP="00261ED1">
      <w:pPr>
        <w:rPr>
          <w:szCs w:val="28"/>
        </w:rPr>
      </w:pPr>
      <w:r>
        <w:rPr>
          <w:szCs w:val="28"/>
        </w:rPr>
        <w:t>Cadmium largely follows the same trend as zinc</w:t>
      </w:r>
      <w:r w:rsidR="009C546D">
        <w:rPr>
          <w:szCs w:val="28"/>
        </w:rPr>
        <w:t xml:space="preserve"> at all sample points</w:t>
      </w:r>
      <w:r>
        <w:rPr>
          <w:szCs w:val="28"/>
        </w:rPr>
        <w:t>, however the fluctuations</w:t>
      </w:r>
      <w:r w:rsidR="009C546D">
        <w:rPr>
          <w:szCs w:val="28"/>
        </w:rPr>
        <w:t xml:space="preserve"> between WA6 and WA2</w:t>
      </w:r>
      <w:r>
        <w:rPr>
          <w:szCs w:val="28"/>
        </w:rPr>
        <w:t xml:space="preserve"> in lower flows are not as substantial</w:t>
      </w:r>
      <w:r w:rsidR="00CF069D">
        <w:rPr>
          <w:szCs w:val="28"/>
        </w:rPr>
        <w:t>, nonetheless they could still be accounted for by natural variations in concentrations through the si</w:t>
      </w:r>
      <w:r w:rsidR="00990481">
        <w:rPr>
          <w:szCs w:val="28"/>
        </w:rPr>
        <w:t>te. The figures above in table 9</w:t>
      </w:r>
      <w:r w:rsidR="00CF069D">
        <w:rPr>
          <w:szCs w:val="28"/>
        </w:rPr>
        <w:t xml:space="preserve"> suggest that there is more cadmium unaccounted for on any given day than zinc which suggests that one of the unmeasured sources through the mine site it contributing a higher percentage of Cadmium to the watercourse.  </w:t>
      </w:r>
      <w:r w:rsidR="009C546D">
        <w:rPr>
          <w:szCs w:val="28"/>
        </w:rPr>
        <w:t>Barney Craig</w:t>
      </w:r>
      <w:r w:rsidR="00DC4F6B">
        <w:rPr>
          <w:szCs w:val="28"/>
        </w:rPr>
        <w:t xml:space="preserve"> </w:t>
      </w:r>
      <w:r w:rsidR="00CF069D">
        <w:rPr>
          <w:szCs w:val="28"/>
        </w:rPr>
        <w:t>remains the most</w:t>
      </w:r>
      <w:r w:rsidR="00DC4F6B">
        <w:rPr>
          <w:szCs w:val="28"/>
        </w:rPr>
        <w:t xml:space="preserve"> significant contributor to the watercourse at an average of 6</w:t>
      </w:r>
      <w:r w:rsidR="005E5CC0">
        <w:rPr>
          <w:szCs w:val="28"/>
        </w:rPr>
        <w:t>0</w:t>
      </w:r>
      <w:r w:rsidR="00DC4F6B">
        <w:rPr>
          <w:szCs w:val="28"/>
        </w:rPr>
        <w:t>%</w:t>
      </w:r>
      <w:r w:rsidR="005E5CC0">
        <w:rPr>
          <w:szCs w:val="28"/>
        </w:rPr>
        <w:t xml:space="preserve"> (22-94%)</w:t>
      </w:r>
      <w:r w:rsidR="00DC4F6B">
        <w:rPr>
          <w:szCs w:val="28"/>
        </w:rPr>
        <w:t>, although it contributes a greater proportion of the Zinc.</w:t>
      </w:r>
    </w:p>
    <w:p w14:paraId="26344EC3" w14:textId="77777777" w:rsidR="00CA5CE9" w:rsidRDefault="00CA5CE9" w:rsidP="00261ED1">
      <w:pPr>
        <w:rPr>
          <w:b/>
          <w:sz w:val="28"/>
          <w:szCs w:val="28"/>
        </w:rPr>
      </w:pPr>
    </w:p>
    <w:p w14:paraId="7CA6BDA9" w14:textId="77777777" w:rsidR="00990481" w:rsidRDefault="002415B5" w:rsidP="00990481">
      <w:pPr>
        <w:keepNext/>
      </w:pPr>
      <w:r w:rsidRPr="002415B5">
        <w:rPr>
          <w:b/>
          <w:sz w:val="28"/>
          <w:szCs w:val="28"/>
        </w:rPr>
        <w:t xml:space="preserve"> </w:t>
      </w:r>
      <w:r w:rsidR="005E5CC0" w:rsidRPr="005E5CC0">
        <w:rPr>
          <w:noProof/>
        </w:rPr>
        <w:drawing>
          <wp:inline distT="0" distB="0" distL="0" distR="0" wp14:anchorId="5749E489" wp14:editId="378650AC">
            <wp:extent cx="7904480" cy="24384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904480" cy="2438400"/>
                    </a:xfrm>
                    <a:prstGeom prst="rect">
                      <a:avLst/>
                    </a:prstGeom>
                    <a:noFill/>
                    <a:ln>
                      <a:noFill/>
                    </a:ln>
                  </pic:spPr>
                </pic:pic>
              </a:graphicData>
            </a:graphic>
          </wp:inline>
        </w:drawing>
      </w:r>
    </w:p>
    <w:p w14:paraId="2A98EB6E" w14:textId="0B68638C" w:rsidR="009E1D92" w:rsidRDefault="00990481" w:rsidP="00990481">
      <w:pPr>
        <w:pStyle w:val="Caption"/>
        <w:rPr>
          <w:b w:val="0"/>
          <w:sz w:val="28"/>
          <w:szCs w:val="28"/>
        </w:rPr>
      </w:pPr>
      <w:r>
        <w:t xml:space="preserve">Table </w:t>
      </w:r>
      <w:r w:rsidR="00E616B5">
        <w:fldChar w:fldCharType="begin"/>
      </w:r>
      <w:r w:rsidR="00E616B5">
        <w:instrText xml:space="preserve"> SEQ Table \* ARABIC </w:instrText>
      </w:r>
      <w:r w:rsidR="00E616B5">
        <w:fldChar w:fldCharType="separate"/>
      </w:r>
      <w:r>
        <w:rPr>
          <w:noProof/>
        </w:rPr>
        <w:t>10</w:t>
      </w:r>
      <w:r w:rsidR="00E616B5">
        <w:rPr>
          <w:noProof/>
        </w:rPr>
        <w:fldChar w:fldCharType="end"/>
      </w:r>
      <w:r>
        <w:t xml:space="preserve"> - Lead mass balance calculations</w:t>
      </w:r>
    </w:p>
    <w:p w14:paraId="370E3CC6" w14:textId="77777777" w:rsidR="009E1D92" w:rsidRDefault="009E1D92" w:rsidP="00261ED1">
      <w:pPr>
        <w:rPr>
          <w:b/>
          <w:sz w:val="28"/>
          <w:szCs w:val="28"/>
        </w:rPr>
      </w:pPr>
    </w:p>
    <w:p w14:paraId="6E7F59B1" w14:textId="1CBE8459" w:rsidR="00300F20" w:rsidRDefault="00300F20" w:rsidP="00261ED1">
      <w:pPr>
        <w:rPr>
          <w:szCs w:val="28"/>
        </w:rPr>
      </w:pPr>
      <w:r>
        <w:rPr>
          <w:szCs w:val="28"/>
        </w:rPr>
        <w:t>WA6</w:t>
      </w:r>
    </w:p>
    <w:p w14:paraId="04A72EE4" w14:textId="17A4A08E" w:rsidR="00300F20" w:rsidRDefault="00300F20" w:rsidP="00261ED1">
      <w:pPr>
        <w:rPr>
          <w:szCs w:val="28"/>
        </w:rPr>
      </w:pPr>
      <w:r>
        <w:rPr>
          <w:szCs w:val="28"/>
        </w:rPr>
        <w:t>The amount of lead accounted for as WA6 is very low in all flow conditions, there are sources between these two points that stick out a</w:t>
      </w:r>
      <w:r w:rsidR="005E5CC0">
        <w:rPr>
          <w:szCs w:val="28"/>
        </w:rPr>
        <w:t>s</w:t>
      </w:r>
      <w:r>
        <w:rPr>
          <w:szCs w:val="28"/>
        </w:rPr>
        <w:t xml:space="preserve"> being potential contributors, there is a</w:t>
      </w:r>
      <w:r w:rsidR="00B5029E">
        <w:rPr>
          <w:szCs w:val="28"/>
        </w:rPr>
        <w:t xml:space="preserve"> Mining Waste directive site identified at</w:t>
      </w:r>
      <w:r w:rsidR="003F6BC2">
        <w:rPr>
          <w:szCs w:val="28"/>
        </w:rPr>
        <w:t xml:space="preserve"> Coal cleugh which identifies the area around the two tributaries at the head of the catchment as contributing significant amounts of Lead Zinc and Cadmium. Almost all of this spoil is located downstream of WA7</w:t>
      </w:r>
      <w:r w:rsidR="001D217F">
        <w:rPr>
          <w:szCs w:val="28"/>
        </w:rPr>
        <w:t xml:space="preserve">, this is shown in figure </w:t>
      </w:r>
      <w:r w:rsidR="00990481">
        <w:rPr>
          <w:szCs w:val="28"/>
        </w:rPr>
        <w:t>3</w:t>
      </w:r>
      <w:r w:rsidR="001D217F">
        <w:rPr>
          <w:szCs w:val="28"/>
        </w:rPr>
        <w:t xml:space="preserve"> above, the remainder of the lead not accounted for at WA6 is likely to originate from this area.</w:t>
      </w:r>
    </w:p>
    <w:p w14:paraId="6C1937E6" w14:textId="77777777" w:rsidR="001D217F" w:rsidRDefault="001D217F" w:rsidP="00261ED1">
      <w:pPr>
        <w:rPr>
          <w:szCs w:val="28"/>
        </w:rPr>
      </w:pPr>
    </w:p>
    <w:p w14:paraId="0C84F94B" w14:textId="4A7D3BEF" w:rsidR="001D217F" w:rsidRDefault="001D217F" w:rsidP="00261ED1">
      <w:pPr>
        <w:rPr>
          <w:szCs w:val="28"/>
        </w:rPr>
      </w:pPr>
      <w:r>
        <w:rPr>
          <w:szCs w:val="28"/>
        </w:rPr>
        <w:t>WA2</w:t>
      </w:r>
    </w:p>
    <w:p w14:paraId="1149BE1C" w14:textId="1EF2E87D" w:rsidR="00FC5C57" w:rsidRDefault="00BA3C1F" w:rsidP="00261ED1">
      <w:pPr>
        <w:rPr>
          <w:szCs w:val="28"/>
        </w:rPr>
      </w:pPr>
      <w:r>
        <w:rPr>
          <w:szCs w:val="28"/>
        </w:rPr>
        <w:t>The amount of lead accounted for by the measured points</w:t>
      </w:r>
      <w:r w:rsidR="00FC5C57">
        <w:rPr>
          <w:szCs w:val="28"/>
        </w:rPr>
        <w:t xml:space="preserve"> between WA6 and WA2 is</w:t>
      </w:r>
      <w:r w:rsidR="001D217F">
        <w:rPr>
          <w:szCs w:val="28"/>
        </w:rPr>
        <w:t xml:space="preserve"> higher in higher flows, this points towards areas upstream of WA6 contributing a greater proportion of lead in wet weather.  However, there are 2 anomalies to this, </w:t>
      </w:r>
      <w:r w:rsidR="00FC5C57">
        <w:rPr>
          <w:szCs w:val="28"/>
        </w:rPr>
        <w:t xml:space="preserve">Q80 on </w:t>
      </w:r>
      <w:r w:rsidR="001D217F">
        <w:rPr>
          <w:szCs w:val="28"/>
        </w:rPr>
        <w:t>8/10/2014 was one of the highest flows at WA7 but only 36% is accounted for between WA6 and WA2 suggesting that on this occasion the inputs from the mine site were more significant than is s</w:t>
      </w:r>
      <w:r w:rsidR="00BC038A">
        <w:rPr>
          <w:szCs w:val="28"/>
        </w:rPr>
        <w:t>hown in other high flow eve</w:t>
      </w:r>
      <w:r w:rsidR="00695ACE">
        <w:rPr>
          <w:szCs w:val="28"/>
        </w:rPr>
        <w:t>nts (Q80 is taken from Hindley W</w:t>
      </w:r>
      <w:r w:rsidR="00BC038A">
        <w:rPr>
          <w:szCs w:val="28"/>
        </w:rPr>
        <w:t>rae and is not necessarily representative of flows throughout the whole catchment).</w:t>
      </w:r>
    </w:p>
    <w:p w14:paraId="53081D5E" w14:textId="3BC1BE95" w:rsidR="00BA3C1F" w:rsidRDefault="001D217F" w:rsidP="00261ED1">
      <w:pPr>
        <w:rPr>
          <w:szCs w:val="28"/>
        </w:rPr>
      </w:pPr>
      <w:r>
        <w:rPr>
          <w:szCs w:val="28"/>
        </w:rPr>
        <w:t xml:space="preserve">The other anomaly is Q91 on 19/6/2014 with 76% accounted for, the mine site could be expected to have a greater influence on WA2 at lower flows looking at other similar flows.  Looking at the flow </w:t>
      </w:r>
      <w:r w:rsidR="00FC5C57">
        <w:rPr>
          <w:szCs w:val="28"/>
        </w:rPr>
        <w:t>data, shows this date to be a flow at WA7 similar to Q37 when 77% is accounted for which is similar to what was measured at the Q91 event.</w:t>
      </w:r>
    </w:p>
    <w:p w14:paraId="7BB92678" w14:textId="77777777" w:rsidR="00FC5C57" w:rsidRDefault="00FC5C57" w:rsidP="00261ED1">
      <w:pPr>
        <w:rPr>
          <w:szCs w:val="28"/>
        </w:rPr>
      </w:pPr>
    </w:p>
    <w:p w14:paraId="0905C275" w14:textId="059DF0A3" w:rsidR="00FC5C57" w:rsidRDefault="00FC5C57" w:rsidP="00261ED1">
      <w:pPr>
        <w:rPr>
          <w:szCs w:val="28"/>
        </w:rPr>
      </w:pPr>
      <w:r>
        <w:rPr>
          <w:szCs w:val="28"/>
        </w:rPr>
        <w:t>WA1</w:t>
      </w:r>
    </w:p>
    <w:p w14:paraId="3D01B588" w14:textId="55E36D62" w:rsidR="00FC5C57" w:rsidRDefault="00FC5C57" w:rsidP="00261ED1">
      <w:pPr>
        <w:rPr>
          <w:szCs w:val="28"/>
        </w:rPr>
      </w:pPr>
      <w:r>
        <w:rPr>
          <w:szCs w:val="28"/>
        </w:rPr>
        <w:t>The lead loadings follow the same pattern as zinc and cadmium, in higher flows the inputs from upstream of WA2 become less significant suggesting re-suspension and remobilisation of lead from sediment</w:t>
      </w:r>
    </w:p>
    <w:p w14:paraId="3EED96DF" w14:textId="77777777" w:rsidR="00FC5C57" w:rsidRDefault="00FC5C57" w:rsidP="00261ED1">
      <w:pPr>
        <w:rPr>
          <w:szCs w:val="28"/>
        </w:rPr>
      </w:pPr>
    </w:p>
    <w:p w14:paraId="3CA24816" w14:textId="77777777" w:rsidR="009C6DB4" w:rsidRDefault="009C6DB4" w:rsidP="00261ED1">
      <w:pPr>
        <w:rPr>
          <w:szCs w:val="28"/>
        </w:rPr>
        <w:sectPr w:rsidR="009C6DB4" w:rsidSect="00685D84">
          <w:pgSz w:w="16838" w:h="11906" w:orient="landscape" w:code="9"/>
          <w:pgMar w:top="720" w:right="720" w:bottom="720" w:left="720" w:header="567" w:footer="720" w:gutter="0"/>
          <w:cols w:space="720"/>
          <w:docGrid w:linePitch="299"/>
        </w:sectPr>
      </w:pPr>
    </w:p>
    <w:p w14:paraId="674905CE" w14:textId="12F190EB" w:rsidR="00443646" w:rsidRPr="00443646" w:rsidRDefault="00443646" w:rsidP="00443646">
      <w:pPr>
        <w:rPr>
          <w:szCs w:val="24"/>
        </w:rPr>
      </w:pPr>
      <w:r>
        <w:rPr>
          <w:szCs w:val="24"/>
        </w:rPr>
        <w:t>This section</w:t>
      </w:r>
      <w:r w:rsidRPr="00443646">
        <w:rPr>
          <w:szCs w:val="24"/>
        </w:rPr>
        <w:t xml:space="preserve"> of the results and interpretation details </w:t>
      </w:r>
      <w:r w:rsidRPr="00BC038A">
        <w:rPr>
          <w:szCs w:val="24"/>
        </w:rPr>
        <w:t>nine</w:t>
      </w:r>
      <w:r w:rsidRPr="00443646">
        <w:rPr>
          <w:szCs w:val="24"/>
        </w:rPr>
        <w:t xml:space="preserve"> graphs which show the measured loadings of zinc, cadmium and lead in relation to the site specific EQS load at Q 9</w:t>
      </w:r>
      <w:r>
        <w:rPr>
          <w:szCs w:val="24"/>
        </w:rPr>
        <w:t>5</w:t>
      </w:r>
      <w:r w:rsidRPr="00443646">
        <w:rPr>
          <w:szCs w:val="24"/>
        </w:rPr>
        <w:t>, Q</w:t>
      </w:r>
      <w:r>
        <w:rPr>
          <w:szCs w:val="24"/>
        </w:rPr>
        <w:t>55</w:t>
      </w:r>
      <w:r w:rsidRPr="00443646">
        <w:rPr>
          <w:szCs w:val="24"/>
        </w:rPr>
        <w:t xml:space="preserve"> and Q</w:t>
      </w:r>
      <w:r>
        <w:rPr>
          <w:szCs w:val="24"/>
        </w:rPr>
        <w:t>18</w:t>
      </w:r>
      <w:r w:rsidRPr="00443646">
        <w:rPr>
          <w:szCs w:val="24"/>
        </w:rPr>
        <w:t xml:space="preserve"> flow conditions, (Q values determine by the flow duration curve for the </w:t>
      </w:r>
      <w:r>
        <w:rPr>
          <w:szCs w:val="24"/>
        </w:rPr>
        <w:t>West Allen at</w:t>
      </w:r>
      <w:r w:rsidR="00990481">
        <w:rPr>
          <w:szCs w:val="24"/>
        </w:rPr>
        <w:t xml:space="preserve"> Hindley Wrae Ford, see Figure 13</w:t>
      </w:r>
      <w:r w:rsidRPr="00443646">
        <w:rPr>
          <w:szCs w:val="24"/>
        </w:rPr>
        <w:t xml:space="preserve">). The site specific EQS is equivalent to </w:t>
      </w:r>
      <w:r w:rsidR="00BC038A">
        <w:rPr>
          <w:szCs w:val="24"/>
        </w:rPr>
        <w:t>t</w:t>
      </w:r>
      <w:r w:rsidRPr="00443646">
        <w:rPr>
          <w:szCs w:val="24"/>
        </w:rPr>
        <w:t>he Predicted No Effect Concentration, (PNEC). PNEC have been calculated by using the BLM</w:t>
      </w:r>
      <w:r w:rsidRPr="00443646">
        <w:rPr>
          <w:rStyle w:val="FootnoteReference"/>
          <w:szCs w:val="24"/>
        </w:rPr>
        <w:footnoteReference w:id="1"/>
      </w:r>
      <w:r w:rsidRPr="00443646">
        <w:rPr>
          <w:szCs w:val="24"/>
        </w:rPr>
        <w:t xml:space="preserve"> and PbBLM Tools. These tools use ecotoxicological data and site specific water quality data to produce the PNEC values.  PNEC loadings have been calculated by multiplying the metal PNEC by the measured flow. Therefore the “</w:t>
      </w:r>
      <w:r w:rsidRPr="00443646">
        <w:rPr>
          <w:i/>
          <w:szCs w:val="24"/>
        </w:rPr>
        <w:t>PNEC load</w:t>
      </w:r>
      <w:r w:rsidRPr="00443646">
        <w:rPr>
          <w:szCs w:val="24"/>
        </w:rPr>
        <w:t xml:space="preserve">” is the target metal loading (concentration multiplied by flow) required to achieve compliance with the EQS. The purpose of the graphs is to show the variation in the actual metal loadings in the River </w:t>
      </w:r>
      <w:r w:rsidR="00BC038A">
        <w:rPr>
          <w:szCs w:val="24"/>
        </w:rPr>
        <w:t>West Allen</w:t>
      </w:r>
      <w:r w:rsidRPr="00443646">
        <w:rPr>
          <w:szCs w:val="24"/>
        </w:rPr>
        <w:t xml:space="preserve"> in comparison to the EQS and illustrate the load of metal that needs to be removed to achieve EQS compliance. </w:t>
      </w:r>
      <w:r>
        <w:rPr>
          <w:szCs w:val="24"/>
        </w:rPr>
        <w:t xml:space="preserve">Also included in this section </w:t>
      </w:r>
      <w:r w:rsidR="00BC038A">
        <w:rPr>
          <w:szCs w:val="24"/>
        </w:rPr>
        <w:t xml:space="preserve">is </w:t>
      </w:r>
      <w:r>
        <w:rPr>
          <w:szCs w:val="24"/>
        </w:rPr>
        <w:t>1 graph per metal to show how the measured and PNEC loads change</w:t>
      </w:r>
      <w:r w:rsidR="00162C77">
        <w:rPr>
          <w:szCs w:val="24"/>
        </w:rPr>
        <w:t xml:space="preserve"> at Hindley Wrae ford</w:t>
      </w:r>
      <w:r>
        <w:rPr>
          <w:szCs w:val="24"/>
        </w:rPr>
        <w:t xml:space="preserve"> as the flow increases to highlight the input from diffuse sources.</w:t>
      </w:r>
    </w:p>
    <w:p w14:paraId="7BA18E5A" w14:textId="77777777" w:rsidR="00443646" w:rsidRDefault="00443646" w:rsidP="00261ED1">
      <w:pPr>
        <w:rPr>
          <w:b/>
          <w:sz w:val="28"/>
          <w:szCs w:val="28"/>
        </w:rPr>
      </w:pPr>
    </w:p>
    <w:p w14:paraId="7FDF07A8" w14:textId="77777777" w:rsidR="00443646" w:rsidRDefault="00443646" w:rsidP="00261ED1">
      <w:pPr>
        <w:rPr>
          <w:b/>
          <w:sz w:val="28"/>
          <w:szCs w:val="28"/>
        </w:rPr>
      </w:pPr>
    </w:p>
    <w:p w14:paraId="71090A18" w14:textId="02D541AB" w:rsidR="009C6DB4" w:rsidRDefault="009C6DB4" w:rsidP="00261ED1">
      <w:pPr>
        <w:rPr>
          <w:b/>
          <w:sz w:val="28"/>
          <w:szCs w:val="28"/>
        </w:rPr>
      </w:pPr>
      <w:r>
        <w:rPr>
          <w:b/>
          <w:sz w:val="28"/>
          <w:szCs w:val="28"/>
        </w:rPr>
        <w:t>Zinc</w:t>
      </w:r>
    </w:p>
    <w:p w14:paraId="33F54A6B" w14:textId="77777777" w:rsidR="009C6DB4" w:rsidRDefault="00CA5CE9" w:rsidP="009C6DB4">
      <w:pPr>
        <w:keepNext/>
      </w:pPr>
      <w:r>
        <w:rPr>
          <w:noProof/>
        </w:rPr>
        <w:drawing>
          <wp:inline distT="0" distB="0" distL="0" distR="0" wp14:anchorId="30995C2B" wp14:editId="36D1A396">
            <wp:extent cx="4831307" cy="1924334"/>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6B8F753" w14:textId="749CEE65" w:rsidR="00CA5CE9" w:rsidRDefault="009C6DB4" w:rsidP="009C6DB4">
      <w:pPr>
        <w:pStyle w:val="Caption"/>
      </w:pPr>
      <w:r>
        <w:t xml:space="preserve">Figure </w:t>
      </w:r>
      <w:r w:rsidR="00E616B5">
        <w:fldChar w:fldCharType="begin"/>
      </w:r>
      <w:r w:rsidR="00E616B5">
        <w:instrText xml:space="preserve"> SEQ Figure \* ARABIC </w:instrText>
      </w:r>
      <w:r w:rsidR="00E616B5">
        <w:fldChar w:fldCharType="separate"/>
      </w:r>
      <w:r w:rsidR="00B87AA0">
        <w:rPr>
          <w:noProof/>
        </w:rPr>
        <w:t>15</w:t>
      </w:r>
      <w:r w:rsidR="00E616B5">
        <w:rPr>
          <w:noProof/>
        </w:rPr>
        <w:fldChar w:fldCharType="end"/>
      </w:r>
      <w:r>
        <w:t xml:space="preserve"> - Zinc and PNEC load at each Q value</w:t>
      </w:r>
    </w:p>
    <w:p w14:paraId="7ED870D4" w14:textId="77777777" w:rsidR="00162C77" w:rsidRPr="00162C77" w:rsidRDefault="00162C77" w:rsidP="00162C77"/>
    <w:p w14:paraId="56050F05" w14:textId="77777777" w:rsidR="009C6DB4" w:rsidRDefault="009C6DB4" w:rsidP="009C6DB4">
      <w:pPr>
        <w:keepNext/>
      </w:pPr>
      <w:r>
        <w:rPr>
          <w:noProof/>
        </w:rPr>
        <w:drawing>
          <wp:inline distT="0" distB="0" distL="0" distR="0" wp14:anchorId="141AACA1" wp14:editId="237D87D0">
            <wp:extent cx="4804012" cy="2060812"/>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8B443B7" w14:textId="47EABE0F" w:rsidR="009C6DB4" w:rsidRDefault="009C6DB4" w:rsidP="009C6DB4">
      <w:pPr>
        <w:pStyle w:val="Caption"/>
        <w:rPr>
          <w:b w:val="0"/>
          <w:sz w:val="28"/>
          <w:szCs w:val="28"/>
        </w:rPr>
      </w:pPr>
      <w:r>
        <w:t xml:space="preserve">Figure </w:t>
      </w:r>
      <w:r w:rsidR="00E616B5">
        <w:fldChar w:fldCharType="begin"/>
      </w:r>
      <w:r w:rsidR="00E616B5">
        <w:instrText xml:space="preserve"> SEQ Figure \* ARABIC </w:instrText>
      </w:r>
      <w:r w:rsidR="00E616B5">
        <w:fldChar w:fldCharType="separate"/>
      </w:r>
      <w:r w:rsidR="00B87AA0">
        <w:rPr>
          <w:noProof/>
        </w:rPr>
        <w:t>16</w:t>
      </w:r>
      <w:r w:rsidR="00E616B5">
        <w:rPr>
          <w:noProof/>
        </w:rPr>
        <w:fldChar w:fldCharType="end"/>
      </w:r>
      <w:r>
        <w:t xml:space="preserve"> - Zinc and PNEC load at Q18</w:t>
      </w:r>
    </w:p>
    <w:p w14:paraId="206EE166" w14:textId="77777777" w:rsidR="009C6DB4" w:rsidRDefault="009C6DB4" w:rsidP="009C6DB4">
      <w:pPr>
        <w:keepNext/>
      </w:pPr>
      <w:r>
        <w:rPr>
          <w:noProof/>
        </w:rPr>
        <w:drawing>
          <wp:inline distT="0" distB="0" distL="0" distR="0" wp14:anchorId="6BC5BEF6" wp14:editId="21CFF3A2">
            <wp:extent cx="4831080" cy="2101755"/>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CA512E0" w14:textId="73CBFC51" w:rsidR="009C6DB4" w:rsidRDefault="009C6DB4" w:rsidP="009C6DB4">
      <w:pPr>
        <w:pStyle w:val="Caption"/>
      </w:pPr>
      <w:r>
        <w:t xml:space="preserve">Figure </w:t>
      </w:r>
      <w:r w:rsidR="00E616B5">
        <w:fldChar w:fldCharType="begin"/>
      </w:r>
      <w:r w:rsidR="00E616B5">
        <w:instrText xml:space="preserve"> SEQ Figure \* ARABIC </w:instrText>
      </w:r>
      <w:r w:rsidR="00E616B5">
        <w:fldChar w:fldCharType="separate"/>
      </w:r>
      <w:r w:rsidR="00B87AA0">
        <w:rPr>
          <w:noProof/>
        </w:rPr>
        <w:t>17</w:t>
      </w:r>
      <w:r w:rsidR="00E616B5">
        <w:rPr>
          <w:noProof/>
        </w:rPr>
        <w:fldChar w:fldCharType="end"/>
      </w:r>
      <w:r>
        <w:t xml:space="preserve"> - Zinc and PNEC load at Q55</w:t>
      </w:r>
    </w:p>
    <w:p w14:paraId="506D6C27" w14:textId="77777777" w:rsidR="00162C77" w:rsidRDefault="00162C77" w:rsidP="00162C77"/>
    <w:p w14:paraId="10DAE6D1" w14:textId="77777777" w:rsidR="00162C77" w:rsidRPr="00162C77" w:rsidRDefault="00162C77" w:rsidP="00162C77"/>
    <w:p w14:paraId="0E7819CC" w14:textId="77777777" w:rsidR="009C6DB4" w:rsidRDefault="009C6DB4" w:rsidP="009C6DB4">
      <w:pPr>
        <w:keepNext/>
      </w:pPr>
      <w:r>
        <w:rPr>
          <w:noProof/>
        </w:rPr>
        <w:drawing>
          <wp:inline distT="0" distB="0" distL="0" distR="0" wp14:anchorId="49DDC909" wp14:editId="41C242C0">
            <wp:extent cx="4831080" cy="1978925"/>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52CB986" w14:textId="0C4D77C9" w:rsidR="009C6DB4" w:rsidRDefault="009C6DB4" w:rsidP="009C6DB4">
      <w:pPr>
        <w:pStyle w:val="Caption"/>
        <w:rPr>
          <w:b w:val="0"/>
          <w:sz w:val="28"/>
          <w:szCs w:val="28"/>
        </w:rPr>
      </w:pPr>
      <w:r>
        <w:t xml:space="preserve">Figure </w:t>
      </w:r>
      <w:r w:rsidR="00E616B5">
        <w:fldChar w:fldCharType="begin"/>
      </w:r>
      <w:r w:rsidR="00E616B5">
        <w:instrText xml:space="preserve"> SEQ Figure \* ARABIC </w:instrText>
      </w:r>
      <w:r w:rsidR="00E616B5">
        <w:fldChar w:fldCharType="separate"/>
      </w:r>
      <w:r w:rsidR="00B87AA0">
        <w:rPr>
          <w:noProof/>
        </w:rPr>
        <w:t>18</w:t>
      </w:r>
      <w:r w:rsidR="00E616B5">
        <w:rPr>
          <w:noProof/>
        </w:rPr>
        <w:fldChar w:fldCharType="end"/>
      </w:r>
      <w:r>
        <w:t xml:space="preserve"> - Zinc and PNEC load at Q95</w:t>
      </w:r>
    </w:p>
    <w:p w14:paraId="4AF7C690" w14:textId="77777777" w:rsidR="009C6DB4" w:rsidRDefault="009C6DB4" w:rsidP="00261ED1">
      <w:pPr>
        <w:rPr>
          <w:b/>
          <w:sz w:val="28"/>
          <w:szCs w:val="28"/>
        </w:rPr>
      </w:pPr>
    </w:p>
    <w:p w14:paraId="1E8959AE" w14:textId="597DD92E" w:rsidR="009C6DB4" w:rsidRDefault="00162C77" w:rsidP="00261ED1">
      <w:pPr>
        <w:rPr>
          <w:szCs w:val="28"/>
        </w:rPr>
      </w:pPr>
      <w:r w:rsidRPr="00162C77">
        <w:rPr>
          <w:szCs w:val="28"/>
        </w:rPr>
        <w:t xml:space="preserve">Figures </w:t>
      </w:r>
      <w:r w:rsidR="00990481">
        <w:rPr>
          <w:szCs w:val="28"/>
        </w:rPr>
        <w:t>15-18</w:t>
      </w:r>
      <w:r>
        <w:rPr>
          <w:szCs w:val="28"/>
        </w:rPr>
        <w:t xml:space="preserve"> above show measured loadings comp</w:t>
      </w:r>
      <w:r w:rsidR="00990481">
        <w:rPr>
          <w:szCs w:val="28"/>
        </w:rPr>
        <w:t>ared to PNEC loadings, Figure 15</w:t>
      </w:r>
      <w:r>
        <w:rPr>
          <w:szCs w:val="28"/>
        </w:rPr>
        <w:t xml:space="preserve"> shows that in the very highest flows 40kg/day needs to be removed from the system in order to achieve compliance with the zinc EQS whereas at Q79 only 6kg/day needs to be removed.  With Barney </w:t>
      </w:r>
      <w:r w:rsidR="00695ACE">
        <w:rPr>
          <w:szCs w:val="28"/>
        </w:rPr>
        <w:t>Craig</w:t>
      </w:r>
      <w:r>
        <w:rPr>
          <w:szCs w:val="28"/>
        </w:rPr>
        <w:t xml:space="preserve"> inputting on average 7.5kg/day compliance starts to look achievable at Hindley Wrae in lower flows with treatment of once point source.</w:t>
      </w:r>
    </w:p>
    <w:p w14:paraId="6DE692B8" w14:textId="748BEE1F" w:rsidR="00162C77" w:rsidRDefault="00162C77" w:rsidP="00261ED1">
      <w:pPr>
        <w:rPr>
          <w:szCs w:val="28"/>
        </w:rPr>
      </w:pPr>
      <w:r>
        <w:rPr>
          <w:szCs w:val="28"/>
        </w:rPr>
        <w:t xml:space="preserve">The other 3 graphs look in more detail at how the loadings change down the catchment. All of them show a marked increase between WA6 and WA2 where the Barney </w:t>
      </w:r>
      <w:r w:rsidR="00695ACE">
        <w:rPr>
          <w:szCs w:val="28"/>
        </w:rPr>
        <w:t>Craig</w:t>
      </w:r>
      <w:r>
        <w:rPr>
          <w:szCs w:val="28"/>
        </w:rPr>
        <w:t xml:space="preserve"> adit discharges, after this point they look very difference, with Q95 flows almost returning to compliance at WA1 where as Q18 continues to rise as</w:t>
      </w:r>
      <w:r w:rsidR="00E9483F">
        <w:rPr>
          <w:szCs w:val="28"/>
        </w:rPr>
        <w:t xml:space="preserve"> it further highlights the</w:t>
      </w:r>
      <w:r>
        <w:rPr>
          <w:szCs w:val="28"/>
        </w:rPr>
        <w:t xml:space="preserve"> additional diffuse inputs </w:t>
      </w:r>
      <w:r w:rsidR="00E9483F">
        <w:rPr>
          <w:szCs w:val="28"/>
        </w:rPr>
        <w:t>downstream of WA2</w:t>
      </w:r>
      <w:r>
        <w:rPr>
          <w:szCs w:val="28"/>
        </w:rPr>
        <w:t>.</w:t>
      </w:r>
      <w:r w:rsidR="00E9483F">
        <w:rPr>
          <w:szCs w:val="28"/>
        </w:rPr>
        <w:t xml:space="preserve"> Even at Q55 more than one treatment option would be required to achieve compliance although the extent of the diffuse pollution downstream of WA2 reduces which would make any interve</w:t>
      </w:r>
      <w:r w:rsidR="00990481">
        <w:rPr>
          <w:szCs w:val="28"/>
        </w:rPr>
        <w:t>ntions more effective.  Figure 18</w:t>
      </w:r>
      <w:r w:rsidR="00E9483F">
        <w:rPr>
          <w:szCs w:val="28"/>
        </w:rPr>
        <w:t xml:space="preserve"> shows that it may be possible to achieve compliance in the vey lowest flows at WA2</w:t>
      </w:r>
      <w:r w:rsidR="0019629D">
        <w:rPr>
          <w:szCs w:val="28"/>
        </w:rPr>
        <w:t xml:space="preserve"> which would represent a significant improvement.</w:t>
      </w:r>
    </w:p>
    <w:p w14:paraId="69FCBB7E" w14:textId="77777777" w:rsidR="0019629D" w:rsidRDefault="0019629D" w:rsidP="00261ED1">
      <w:pPr>
        <w:rPr>
          <w:szCs w:val="28"/>
        </w:rPr>
      </w:pPr>
    </w:p>
    <w:p w14:paraId="5BAB0B07" w14:textId="5C6D447E" w:rsidR="0019629D" w:rsidRPr="00162C77" w:rsidRDefault="0019629D" w:rsidP="00261ED1">
      <w:pPr>
        <w:rPr>
          <w:szCs w:val="28"/>
        </w:rPr>
      </w:pPr>
      <w:r>
        <w:rPr>
          <w:szCs w:val="28"/>
        </w:rPr>
        <w:t>The graphs above also show the magnitude of input between WA6 and WA2 in high flows, at Q95 there is an increase of 6kg/day whereas at Q18 there is an increase of 20 kg/day.</w:t>
      </w:r>
      <w:r w:rsidR="005C6BF2">
        <w:rPr>
          <w:szCs w:val="28"/>
        </w:rPr>
        <w:t xml:space="preserve"> Equally noticeable is the amount of zinc that arrives from upstream of WA6 in high flows, showing the significant diffuse input this has.</w:t>
      </w:r>
    </w:p>
    <w:p w14:paraId="16423A1C" w14:textId="77777777" w:rsidR="009C6DB4" w:rsidRDefault="009C6DB4" w:rsidP="00261ED1">
      <w:pPr>
        <w:rPr>
          <w:b/>
          <w:sz w:val="28"/>
          <w:szCs w:val="28"/>
        </w:rPr>
      </w:pPr>
    </w:p>
    <w:p w14:paraId="05BC0C1B" w14:textId="77777777" w:rsidR="009C6DB4" w:rsidRDefault="009C6DB4" w:rsidP="00261ED1">
      <w:pPr>
        <w:rPr>
          <w:b/>
          <w:sz w:val="28"/>
          <w:szCs w:val="28"/>
        </w:rPr>
      </w:pPr>
    </w:p>
    <w:p w14:paraId="1A2929AC" w14:textId="77777777" w:rsidR="009C6DB4" w:rsidRDefault="009C6DB4" w:rsidP="00261ED1">
      <w:pPr>
        <w:rPr>
          <w:b/>
          <w:sz w:val="28"/>
          <w:szCs w:val="28"/>
        </w:rPr>
      </w:pPr>
    </w:p>
    <w:p w14:paraId="3830785D" w14:textId="77777777" w:rsidR="009C6DB4" w:rsidRDefault="009C6DB4" w:rsidP="00261ED1">
      <w:pPr>
        <w:rPr>
          <w:b/>
          <w:sz w:val="28"/>
          <w:szCs w:val="28"/>
        </w:rPr>
      </w:pPr>
    </w:p>
    <w:p w14:paraId="36864933" w14:textId="77777777" w:rsidR="009C6DB4" w:rsidRDefault="009C6DB4" w:rsidP="00261ED1">
      <w:pPr>
        <w:rPr>
          <w:b/>
          <w:sz w:val="28"/>
          <w:szCs w:val="28"/>
        </w:rPr>
      </w:pPr>
    </w:p>
    <w:p w14:paraId="58B2F2F5" w14:textId="77777777" w:rsidR="009C6DB4" w:rsidRDefault="009C6DB4" w:rsidP="00261ED1">
      <w:pPr>
        <w:rPr>
          <w:b/>
          <w:sz w:val="28"/>
          <w:szCs w:val="28"/>
        </w:rPr>
      </w:pPr>
    </w:p>
    <w:p w14:paraId="641F7B24" w14:textId="77777777" w:rsidR="009C6DB4" w:rsidRDefault="009C6DB4" w:rsidP="00261ED1">
      <w:pPr>
        <w:rPr>
          <w:b/>
          <w:sz w:val="28"/>
          <w:szCs w:val="28"/>
        </w:rPr>
      </w:pPr>
    </w:p>
    <w:p w14:paraId="26C401A0" w14:textId="77777777" w:rsidR="009C6DB4" w:rsidRDefault="009C6DB4" w:rsidP="00261ED1">
      <w:pPr>
        <w:rPr>
          <w:b/>
          <w:sz w:val="28"/>
          <w:szCs w:val="28"/>
        </w:rPr>
      </w:pPr>
    </w:p>
    <w:p w14:paraId="487F2008" w14:textId="77777777" w:rsidR="009C6DB4" w:rsidRDefault="009C6DB4" w:rsidP="00261ED1">
      <w:pPr>
        <w:rPr>
          <w:b/>
          <w:sz w:val="28"/>
          <w:szCs w:val="28"/>
        </w:rPr>
      </w:pPr>
    </w:p>
    <w:p w14:paraId="5AA87592" w14:textId="2158FC9B" w:rsidR="0019629D" w:rsidRDefault="0019629D" w:rsidP="0019629D">
      <w:pPr>
        <w:rPr>
          <w:b/>
          <w:sz w:val="28"/>
          <w:szCs w:val="28"/>
        </w:rPr>
      </w:pPr>
      <w:r>
        <w:rPr>
          <w:b/>
          <w:sz w:val="28"/>
          <w:szCs w:val="28"/>
        </w:rPr>
        <w:t>Cadmium</w:t>
      </w:r>
    </w:p>
    <w:p w14:paraId="25205A9A" w14:textId="77777777" w:rsidR="009C6DB4" w:rsidRDefault="009C6DB4" w:rsidP="00261ED1">
      <w:pPr>
        <w:rPr>
          <w:b/>
          <w:sz w:val="28"/>
          <w:szCs w:val="28"/>
        </w:rPr>
      </w:pPr>
    </w:p>
    <w:p w14:paraId="61525DDE" w14:textId="77777777" w:rsidR="005C6BF2" w:rsidRDefault="0019629D" w:rsidP="005C6BF2">
      <w:pPr>
        <w:keepNext/>
      </w:pPr>
      <w:r>
        <w:rPr>
          <w:noProof/>
        </w:rPr>
        <w:drawing>
          <wp:inline distT="0" distB="0" distL="0" distR="0" wp14:anchorId="5C24CAD5" wp14:editId="5487A2BB">
            <wp:extent cx="5000625" cy="1847850"/>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54087F5" w14:textId="5A37281B" w:rsidR="009C6DB4" w:rsidRDefault="005C6BF2" w:rsidP="005C6BF2">
      <w:pPr>
        <w:pStyle w:val="Caption"/>
        <w:rPr>
          <w:b w:val="0"/>
          <w:sz w:val="28"/>
          <w:szCs w:val="28"/>
        </w:rPr>
      </w:pPr>
      <w:r>
        <w:t xml:space="preserve">Figure </w:t>
      </w:r>
      <w:r w:rsidR="00E616B5">
        <w:fldChar w:fldCharType="begin"/>
      </w:r>
      <w:r w:rsidR="00E616B5">
        <w:instrText xml:space="preserve"> SEQ Figure \* ARABIC </w:instrText>
      </w:r>
      <w:r w:rsidR="00E616B5">
        <w:fldChar w:fldCharType="separate"/>
      </w:r>
      <w:r w:rsidR="00B87AA0">
        <w:rPr>
          <w:noProof/>
        </w:rPr>
        <w:t>19</w:t>
      </w:r>
      <w:r w:rsidR="00E616B5">
        <w:rPr>
          <w:noProof/>
        </w:rPr>
        <w:fldChar w:fldCharType="end"/>
      </w:r>
      <w:r>
        <w:t xml:space="preserve"> - Cadmium and PNEC load at each Q value</w:t>
      </w:r>
    </w:p>
    <w:p w14:paraId="77AC9CD0" w14:textId="77777777" w:rsidR="009C6DB4" w:rsidRDefault="009C6DB4" w:rsidP="00261ED1">
      <w:pPr>
        <w:rPr>
          <w:b/>
          <w:sz w:val="28"/>
          <w:szCs w:val="28"/>
        </w:rPr>
      </w:pPr>
    </w:p>
    <w:p w14:paraId="4FDDA4EE" w14:textId="77777777" w:rsidR="005C6BF2" w:rsidRDefault="0019629D" w:rsidP="005C6BF2">
      <w:pPr>
        <w:keepNext/>
      </w:pPr>
      <w:r>
        <w:rPr>
          <w:noProof/>
        </w:rPr>
        <w:drawing>
          <wp:inline distT="0" distB="0" distL="0" distR="0" wp14:anchorId="536CC06F" wp14:editId="727AB7BF">
            <wp:extent cx="4981575" cy="2095500"/>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408DD76" w14:textId="716AFE8F" w:rsidR="009C6DB4" w:rsidRDefault="005C6BF2" w:rsidP="005C6BF2">
      <w:pPr>
        <w:pStyle w:val="Caption"/>
        <w:rPr>
          <w:b w:val="0"/>
          <w:sz w:val="28"/>
          <w:szCs w:val="28"/>
        </w:rPr>
      </w:pPr>
      <w:r>
        <w:t xml:space="preserve">Figure </w:t>
      </w:r>
      <w:r w:rsidR="00E616B5">
        <w:fldChar w:fldCharType="begin"/>
      </w:r>
      <w:r w:rsidR="00E616B5">
        <w:instrText xml:space="preserve"> SEQ Figure \* ARABIC </w:instrText>
      </w:r>
      <w:r w:rsidR="00E616B5">
        <w:fldChar w:fldCharType="separate"/>
      </w:r>
      <w:r w:rsidR="00B87AA0">
        <w:rPr>
          <w:noProof/>
        </w:rPr>
        <w:t>20</w:t>
      </w:r>
      <w:r w:rsidR="00E616B5">
        <w:rPr>
          <w:noProof/>
        </w:rPr>
        <w:fldChar w:fldCharType="end"/>
      </w:r>
      <w:r>
        <w:t xml:space="preserve"> - Cadmium and PNEC load at Q18</w:t>
      </w:r>
    </w:p>
    <w:p w14:paraId="5324C21F" w14:textId="77777777" w:rsidR="009C6DB4" w:rsidRDefault="009C6DB4" w:rsidP="00261ED1">
      <w:pPr>
        <w:rPr>
          <w:b/>
          <w:sz w:val="28"/>
          <w:szCs w:val="28"/>
        </w:rPr>
      </w:pPr>
    </w:p>
    <w:p w14:paraId="4EAECBF5" w14:textId="77777777" w:rsidR="005C6BF2" w:rsidRDefault="0019629D" w:rsidP="005C6BF2">
      <w:pPr>
        <w:keepNext/>
      </w:pPr>
      <w:r>
        <w:rPr>
          <w:noProof/>
        </w:rPr>
        <w:drawing>
          <wp:inline distT="0" distB="0" distL="0" distR="0" wp14:anchorId="2968DF75" wp14:editId="68E81617">
            <wp:extent cx="4991100" cy="2066925"/>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BFD33DE" w14:textId="1D224ECD" w:rsidR="0019629D" w:rsidRDefault="005C6BF2" w:rsidP="005C6BF2">
      <w:pPr>
        <w:pStyle w:val="Caption"/>
        <w:rPr>
          <w:b w:val="0"/>
          <w:sz w:val="28"/>
          <w:szCs w:val="28"/>
        </w:rPr>
      </w:pPr>
      <w:r>
        <w:t xml:space="preserve">Figure </w:t>
      </w:r>
      <w:r w:rsidR="00E616B5">
        <w:fldChar w:fldCharType="begin"/>
      </w:r>
      <w:r w:rsidR="00E616B5">
        <w:instrText xml:space="preserve"> SEQ Figure \* ARABIC </w:instrText>
      </w:r>
      <w:r w:rsidR="00E616B5">
        <w:fldChar w:fldCharType="separate"/>
      </w:r>
      <w:r w:rsidR="00B87AA0">
        <w:rPr>
          <w:noProof/>
        </w:rPr>
        <w:t>21</w:t>
      </w:r>
      <w:r w:rsidR="00E616B5">
        <w:rPr>
          <w:noProof/>
        </w:rPr>
        <w:fldChar w:fldCharType="end"/>
      </w:r>
      <w:r>
        <w:t xml:space="preserve"> - Cadmium and PNEC load at Q55</w:t>
      </w:r>
    </w:p>
    <w:p w14:paraId="4437F953" w14:textId="77777777" w:rsidR="009C6DB4" w:rsidRDefault="009C6DB4" w:rsidP="00261ED1">
      <w:pPr>
        <w:rPr>
          <w:b/>
          <w:sz w:val="28"/>
          <w:szCs w:val="28"/>
        </w:rPr>
      </w:pPr>
    </w:p>
    <w:p w14:paraId="68123C0C" w14:textId="77777777" w:rsidR="005C6BF2" w:rsidRDefault="0019629D" w:rsidP="005C6BF2">
      <w:pPr>
        <w:keepNext/>
      </w:pPr>
      <w:r>
        <w:rPr>
          <w:noProof/>
        </w:rPr>
        <w:drawing>
          <wp:inline distT="0" distB="0" distL="0" distR="0" wp14:anchorId="633B5B8C" wp14:editId="2AA46C5D">
            <wp:extent cx="4972050" cy="2095500"/>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264CBBB" w14:textId="4FAFF7C9" w:rsidR="009C6DB4" w:rsidRDefault="005C6BF2" w:rsidP="005C6BF2">
      <w:pPr>
        <w:pStyle w:val="Caption"/>
        <w:rPr>
          <w:b w:val="0"/>
          <w:sz w:val="28"/>
          <w:szCs w:val="28"/>
        </w:rPr>
      </w:pPr>
      <w:r>
        <w:t xml:space="preserve">Figure </w:t>
      </w:r>
      <w:r w:rsidR="00E616B5">
        <w:fldChar w:fldCharType="begin"/>
      </w:r>
      <w:r w:rsidR="00E616B5">
        <w:instrText xml:space="preserve"> SEQ Figure \* ARABIC </w:instrText>
      </w:r>
      <w:r w:rsidR="00E616B5">
        <w:fldChar w:fldCharType="separate"/>
      </w:r>
      <w:r w:rsidR="00B87AA0">
        <w:rPr>
          <w:noProof/>
        </w:rPr>
        <w:t>22</w:t>
      </w:r>
      <w:r w:rsidR="00E616B5">
        <w:rPr>
          <w:noProof/>
        </w:rPr>
        <w:fldChar w:fldCharType="end"/>
      </w:r>
      <w:r>
        <w:t xml:space="preserve"> - Cadmium and PNEC load at Q95</w:t>
      </w:r>
    </w:p>
    <w:p w14:paraId="4D560C01" w14:textId="791754A2" w:rsidR="003C7578" w:rsidRPr="003C7578" w:rsidRDefault="003C7578" w:rsidP="00261ED1">
      <w:pPr>
        <w:rPr>
          <w:b/>
          <w:szCs w:val="28"/>
        </w:rPr>
      </w:pPr>
      <w:r w:rsidRPr="003C7578">
        <w:rPr>
          <w:b/>
          <w:szCs w:val="28"/>
        </w:rPr>
        <w:t>Cadmium</w:t>
      </w:r>
    </w:p>
    <w:p w14:paraId="62FB72F1" w14:textId="7F47AB82" w:rsidR="009C6DB4" w:rsidRDefault="005C6BF2" w:rsidP="00261ED1">
      <w:pPr>
        <w:rPr>
          <w:b/>
          <w:sz w:val="28"/>
          <w:szCs w:val="28"/>
        </w:rPr>
      </w:pPr>
      <w:r w:rsidRPr="005C6BF2">
        <w:rPr>
          <w:szCs w:val="28"/>
        </w:rPr>
        <w:t xml:space="preserve">Figures </w:t>
      </w:r>
      <w:r w:rsidR="00990481">
        <w:rPr>
          <w:szCs w:val="28"/>
        </w:rPr>
        <w:t>19</w:t>
      </w:r>
      <w:r w:rsidRPr="005C6BF2">
        <w:rPr>
          <w:szCs w:val="28"/>
        </w:rPr>
        <w:t>-</w:t>
      </w:r>
      <w:r w:rsidR="00990481">
        <w:rPr>
          <w:szCs w:val="28"/>
        </w:rPr>
        <w:t>22</w:t>
      </w:r>
      <w:r>
        <w:rPr>
          <w:szCs w:val="28"/>
        </w:rPr>
        <w:t xml:space="preserve"> above</w:t>
      </w:r>
      <w:r w:rsidR="003C7578">
        <w:rPr>
          <w:szCs w:val="28"/>
        </w:rPr>
        <w:t xml:space="preserve"> show that Cadmium</w:t>
      </w:r>
      <w:r>
        <w:rPr>
          <w:szCs w:val="28"/>
        </w:rPr>
        <w:t xml:space="preserve"> follow</w:t>
      </w:r>
      <w:r w:rsidR="003C7578">
        <w:rPr>
          <w:szCs w:val="28"/>
        </w:rPr>
        <w:t>s</w:t>
      </w:r>
      <w:r>
        <w:rPr>
          <w:szCs w:val="28"/>
        </w:rPr>
        <w:t xml:space="preserve"> the same pattern as Zinc with loads continuing to increase in higher flows between WA2 and WA1 but falling between these 2 points in lower flows.</w:t>
      </w:r>
      <w:r w:rsidR="003C7578">
        <w:rPr>
          <w:szCs w:val="28"/>
        </w:rPr>
        <w:t xml:space="preserve"> Equally, the amount of input through the mine site at Barney Craig increases significantly in higher flows, as does the input from upstream of WA6.</w:t>
      </w:r>
    </w:p>
    <w:p w14:paraId="63757BFD" w14:textId="2027D1A2" w:rsidR="009C6DB4" w:rsidRDefault="009C6DB4" w:rsidP="00261ED1">
      <w:pPr>
        <w:rPr>
          <w:b/>
          <w:sz w:val="28"/>
          <w:szCs w:val="28"/>
        </w:rPr>
      </w:pPr>
    </w:p>
    <w:p w14:paraId="10F51BB3" w14:textId="6F5988EF" w:rsidR="00CA5CE9" w:rsidRDefault="00CA5CE9" w:rsidP="00261ED1">
      <w:pPr>
        <w:rPr>
          <w:b/>
          <w:sz w:val="28"/>
          <w:szCs w:val="28"/>
        </w:rPr>
      </w:pPr>
    </w:p>
    <w:p w14:paraId="52E3AF6B" w14:textId="46F0399D" w:rsidR="0091309F" w:rsidRDefault="000951FA" w:rsidP="00261ED1">
      <w:pPr>
        <w:rPr>
          <w:b/>
          <w:sz w:val="28"/>
          <w:szCs w:val="28"/>
        </w:rPr>
      </w:pPr>
      <w:r>
        <w:rPr>
          <w:noProof/>
        </w:rPr>
        <w:drawing>
          <wp:anchor distT="0" distB="0" distL="114300" distR="114300" simplePos="0" relativeHeight="251685376" behindDoc="0" locked="0" layoutInCell="1" allowOverlap="1" wp14:anchorId="6EF7DB0F" wp14:editId="3AD49052">
            <wp:simplePos x="0" y="0"/>
            <wp:positionH relativeFrom="column">
              <wp:posOffset>4137025</wp:posOffset>
            </wp:positionH>
            <wp:positionV relativeFrom="paragraph">
              <wp:posOffset>203200</wp:posOffset>
            </wp:positionV>
            <wp:extent cx="2944495" cy="1847850"/>
            <wp:effectExtent l="0" t="0" r="0" b="0"/>
            <wp:wrapThrough wrapText="bothSides">
              <wp:wrapPolygon edited="0">
                <wp:start x="0" y="0"/>
                <wp:lineTo x="0" y="21377"/>
                <wp:lineTo x="21521" y="21377"/>
                <wp:lineTo x="21521" y="0"/>
                <wp:lineTo x="0" y="0"/>
              </wp:wrapPolygon>
            </wp:wrapThrough>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72301C58" w14:textId="44C4F033" w:rsidR="00CA5CE9" w:rsidRDefault="00CA5CE9" w:rsidP="006D2024">
      <w:pPr>
        <w:keepNext/>
      </w:pPr>
      <w:r>
        <w:rPr>
          <w:noProof/>
        </w:rPr>
        <w:drawing>
          <wp:anchor distT="0" distB="0" distL="114300" distR="114300" simplePos="0" relativeHeight="251656704" behindDoc="0" locked="0" layoutInCell="1" allowOverlap="1" wp14:anchorId="274DE2DF" wp14:editId="07B16612">
            <wp:simplePos x="0" y="0"/>
            <wp:positionH relativeFrom="column">
              <wp:posOffset>0</wp:posOffset>
            </wp:positionH>
            <wp:positionV relativeFrom="paragraph">
              <wp:posOffset>3175</wp:posOffset>
            </wp:positionV>
            <wp:extent cx="4067175" cy="1847850"/>
            <wp:effectExtent l="0" t="0" r="0" b="0"/>
            <wp:wrapThrough wrapText="bothSides">
              <wp:wrapPolygon edited="0">
                <wp:start x="0" y="0"/>
                <wp:lineTo x="0" y="21377"/>
                <wp:lineTo x="21549" y="21377"/>
                <wp:lineTo x="21549" y="0"/>
                <wp:lineTo x="0" y="0"/>
              </wp:wrapPolygon>
            </wp:wrapThrough>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rsidR="003C7578">
        <w:t xml:space="preserve">Figure </w:t>
      </w:r>
      <w:r w:rsidR="00E616B5">
        <w:fldChar w:fldCharType="begin"/>
      </w:r>
      <w:r w:rsidR="00E616B5">
        <w:instrText xml:space="preserve"> SEQ Figure \* ARABIC </w:instrText>
      </w:r>
      <w:r w:rsidR="00E616B5">
        <w:fldChar w:fldCharType="separate"/>
      </w:r>
      <w:r w:rsidR="00B87AA0">
        <w:rPr>
          <w:noProof/>
        </w:rPr>
        <w:t>23</w:t>
      </w:r>
      <w:r w:rsidR="00E616B5">
        <w:rPr>
          <w:noProof/>
        </w:rPr>
        <w:fldChar w:fldCharType="end"/>
      </w:r>
      <w:r w:rsidR="003C7578">
        <w:t xml:space="preserve"> - Lead and PNEC load at each Q value</w:t>
      </w:r>
    </w:p>
    <w:p w14:paraId="5EF16C31" w14:textId="77777777" w:rsidR="003C7578" w:rsidRDefault="003C7578" w:rsidP="003C7578"/>
    <w:p w14:paraId="58DBF200" w14:textId="77777777" w:rsidR="009A1163" w:rsidRDefault="003C7578" w:rsidP="009A1163">
      <w:pPr>
        <w:keepNext/>
      </w:pPr>
      <w:r>
        <w:rPr>
          <w:noProof/>
        </w:rPr>
        <w:drawing>
          <wp:inline distT="0" distB="0" distL="0" distR="0" wp14:anchorId="3A83AE9A" wp14:editId="00153C87">
            <wp:extent cx="4991100" cy="188595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D9D97A7" w14:textId="1475933F" w:rsidR="003C7578" w:rsidRDefault="009A1163" w:rsidP="009A1163">
      <w:pPr>
        <w:pStyle w:val="Caption"/>
      </w:pPr>
      <w:r>
        <w:t xml:space="preserve">Figure </w:t>
      </w:r>
      <w:r w:rsidR="00E616B5">
        <w:fldChar w:fldCharType="begin"/>
      </w:r>
      <w:r w:rsidR="00E616B5">
        <w:instrText xml:space="preserve"> SEQ Figure \* ARABIC </w:instrText>
      </w:r>
      <w:r w:rsidR="00E616B5">
        <w:fldChar w:fldCharType="separate"/>
      </w:r>
      <w:r w:rsidR="00B87AA0">
        <w:rPr>
          <w:noProof/>
        </w:rPr>
        <w:t>24</w:t>
      </w:r>
      <w:r w:rsidR="00E616B5">
        <w:rPr>
          <w:noProof/>
        </w:rPr>
        <w:fldChar w:fldCharType="end"/>
      </w:r>
      <w:r>
        <w:t xml:space="preserve"> - Lead and PNEC values at Q18</w:t>
      </w:r>
    </w:p>
    <w:p w14:paraId="6ED07175" w14:textId="77777777" w:rsidR="003C7578" w:rsidRPr="003C7578" w:rsidRDefault="003C7578" w:rsidP="003C7578"/>
    <w:p w14:paraId="03CD8A05" w14:textId="77777777" w:rsidR="0091309F" w:rsidRDefault="0091309F" w:rsidP="00261ED1">
      <w:pPr>
        <w:rPr>
          <w:b/>
          <w:sz w:val="28"/>
          <w:szCs w:val="28"/>
        </w:rPr>
      </w:pPr>
    </w:p>
    <w:p w14:paraId="6671A01A" w14:textId="77777777" w:rsidR="009A1163" w:rsidRDefault="003B2CEF" w:rsidP="009A1163">
      <w:pPr>
        <w:keepNext/>
      </w:pPr>
      <w:r>
        <w:rPr>
          <w:noProof/>
        </w:rPr>
        <w:drawing>
          <wp:inline distT="0" distB="0" distL="0" distR="0" wp14:anchorId="4E954134" wp14:editId="1C4EAB75">
            <wp:extent cx="4981575" cy="2143125"/>
            <wp:effectExtent l="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1890A64" w14:textId="66FC32E1" w:rsidR="003B2CEF" w:rsidRDefault="009A1163" w:rsidP="009A1163">
      <w:pPr>
        <w:pStyle w:val="Caption"/>
        <w:rPr>
          <w:b w:val="0"/>
          <w:sz w:val="28"/>
          <w:szCs w:val="28"/>
        </w:rPr>
      </w:pPr>
      <w:r>
        <w:t xml:space="preserve">Figure </w:t>
      </w:r>
      <w:r w:rsidR="00E616B5">
        <w:fldChar w:fldCharType="begin"/>
      </w:r>
      <w:r w:rsidR="00E616B5">
        <w:instrText xml:space="preserve"> SEQ Figure \* ARABIC </w:instrText>
      </w:r>
      <w:r w:rsidR="00E616B5">
        <w:fldChar w:fldCharType="separate"/>
      </w:r>
      <w:r w:rsidR="00B87AA0">
        <w:rPr>
          <w:noProof/>
        </w:rPr>
        <w:t>25</w:t>
      </w:r>
      <w:r w:rsidR="00E616B5">
        <w:rPr>
          <w:noProof/>
        </w:rPr>
        <w:fldChar w:fldCharType="end"/>
      </w:r>
      <w:r>
        <w:t xml:space="preserve"> - Lead and PNEC load at Q55</w:t>
      </w:r>
    </w:p>
    <w:p w14:paraId="332D3062" w14:textId="77777777" w:rsidR="003B2CEF" w:rsidRDefault="003B2CEF" w:rsidP="00261ED1">
      <w:pPr>
        <w:rPr>
          <w:b/>
          <w:sz w:val="28"/>
          <w:szCs w:val="28"/>
        </w:rPr>
      </w:pPr>
    </w:p>
    <w:p w14:paraId="1BBC729D" w14:textId="77777777" w:rsidR="009A1163" w:rsidRDefault="003B2CEF" w:rsidP="009A1163">
      <w:pPr>
        <w:keepNext/>
      </w:pPr>
      <w:r>
        <w:rPr>
          <w:noProof/>
        </w:rPr>
        <w:drawing>
          <wp:inline distT="0" distB="0" distL="0" distR="0" wp14:anchorId="395A64E0" wp14:editId="7308A74E">
            <wp:extent cx="4914900" cy="1924050"/>
            <wp:effectExtent l="0" t="0" r="0"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9F5AFC4" w14:textId="6C0675AD" w:rsidR="003B2CEF" w:rsidRDefault="009A1163" w:rsidP="009A1163">
      <w:pPr>
        <w:pStyle w:val="Caption"/>
        <w:rPr>
          <w:b w:val="0"/>
          <w:sz w:val="28"/>
          <w:szCs w:val="28"/>
        </w:rPr>
      </w:pPr>
      <w:r>
        <w:t xml:space="preserve">Figure </w:t>
      </w:r>
      <w:r w:rsidR="00E616B5">
        <w:fldChar w:fldCharType="begin"/>
      </w:r>
      <w:r w:rsidR="00E616B5">
        <w:instrText xml:space="preserve"> SEQ Figure \* ARABIC </w:instrText>
      </w:r>
      <w:r w:rsidR="00E616B5">
        <w:fldChar w:fldCharType="separate"/>
      </w:r>
      <w:r w:rsidR="00B87AA0">
        <w:rPr>
          <w:noProof/>
        </w:rPr>
        <w:t>26</w:t>
      </w:r>
      <w:r w:rsidR="00E616B5">
        <w:rPr>
          <w:noProof/>
        </w:rPr>
        <w:fldChar w:fldCharType="end"/>
      </w:r>
      <w:r>
        <w:t xml:space="preserve"> - Lead and PNEC load at Q95</w:t>
      </w:r>
    </w:p>
    <w:p w14:paraId="60394E98" w14:textId="77777777" w:rsidR="003B2CEF" w:rsidRDefault="003B2CEF" w:rsidP="00261ED1">
      <w:pPr>
        <w:rPr>
          <w:b/>
          <w:sz w:val="28"/>
          <w:szCs w:val="28"/>
        </w:rPr>
      </w:pPr>
    </w:p>
    <w:p w14:paraId="43E2CBE7" w14:textId="6EB5351B" w:rsidR="00B946D3" w:rsidRPr="00B946D3" w:rsidRDefault="00B946D3" w:rsidP="00261ED1">
      <w:pPr>
        <w:rPr>
          <w:b/>
          <w:szCs w:val="28"/>
        </w:rPr>
      </w:pPr>
      <w:r w:rsidRPr="00B946D3">
        <w:rPr>
          <w:b/>
          <w:szCs w:val="28"/>
        </w:rPr>
        <w:t>Lead</w:t>
      </w:r>
    </w:p>
    <w:p w14:paraId="6BEE2EF9" w14:textId="3A2C6F0C" w:rsidR="006D2024" w:rsidRDefault="00B946D3" w:rsidP="00261ED1">
      <w:pPr>
        <w:rPr>
          <w:szCs w:val="28"/>
        </w:rPr>
      </w:pPr>
      <w:r w:rsidRPr="00B946D3">
        <w:rPr>
          <w:szCs w:val="28"/>
        </w:rPr>
        <w:t>Figur</w:t>
      </w:r>
      <w:r>
        <w:rPr>
          <w:szCs w:val="28"/>
        </w:rPr>
        <w:t xml:space="preserve">es </w:t>
      </w:r>
      <w:r w:rsidR="00990481">
        <w:rPr>
          <w:szCs w:val="28"/>
        </w:rPr>
        <w:t>23</w:t>
      </w:r>
      <w:r>
        <w:rPr>
          <w:szCs w:val="28"/>
        </w:rPr>
        <w:t>-</w:t>
      </w:r>
      <w:r w:rsidR="00990481">
        <w:rPr>
          <w:szCs w:val="28"/>
        </w:rPr>
        <w:t>26</w:t>
      </w:r>
      <w:r>
        <w:rPr>
          <w:szCs w:val="28"/>
        </w:rPr>
        <w:t xml:space="preserve"> above show that lead does not fail the EQS at Hindley Wrae in higher flows but does fluctuate around the compliance point in lower flows. This </w:t>
      </w:r>
      <w:r w:rsidR="003A4C23">
        <w:rPr>
          <w:szCs w:val="28"/>
        </w:rPr>
        <w:t xml:space="preserve">is </w:t>
      </w:r>
      <w:r>
        <w:rPr>
          <w:szCs w:val="28"/>
        </w:rPr>
        <w:t>largely because of the increase in Dissolved Organic Carbon (DOC)</w:t>
      </w:r>
      <w:r w:rsidR="003A4C23">
        <w:rPr>
          <w:szCs w:val="28"/>
        </w:rPr>
        <w:t xml:space="preserve"> as flows increase making less of the lead available for uptake by organisms therefore allowing a higher EQS concentration before organisms start to become affected. The figures also show a significant difference in the magnitude of the loadings at each flow event, it should be noted that each graph is on a different scale, with high flows requiring measurements up to 2500 g/day and low flows only requiring measurements up to 30 g/day</w:t>
      </w:r>
      <w:r w:rsidR="006D2024">
        <w:rPr>
          <w:szCs w:val="28"/>
        </w:rPr>
        <w:t xml:space="preserve">. </w:t>
      </w:r>
    </w:p>
    <w:p w14:paraId="5BA17A96" w14:textId="77777777" w:rsidR="006D2024" w:rsidRDefault="006D2024" w:rsidP="00261ED1">
      <w:pPr>
        <w:rPr>
          <w:szCs w:val="28"/>
        </w:rPr>
      </w:pPr>
    </w:p>
    <w:p w14:paraId="54D5D477" w14:textId="4997861D" w:rsidR="00B946D3" w:rsidRDefault="006D2024" w:rsidP="00261ED1">
      <w:pPr>
        <w:rPr>
          <w:szCs w:val="28"/>
        </w:rPr>
      </w:pPr>
      <w:r>
        <w:rPr>
          <w:szCs w:val="28"/>
        </w:rPr>
        <w:t xml:space="preserve">In figure </w:t>
      </w:r>
      <w:r w:rsidR="00695ACE">
        <w:rPr>
          <w:szCs w:val="28"/>
        </w:rPr>
        <w:t>23</w:t>
      </w:r>
      <w:r>
        <w:rPr>
          <w:szCs w:val="28"/>
        </w:rPr>
        <w:t xml:space="preserve"> I have included an additional, more focussed graph to show what happens at low flows at Hindley Wrae ford which shows that compliance is briefly breached at the point where lead loading starts to rise before the EQS load starts to rise.  This period when lead begins to mobilise before the</w:t>
      </w:r>
      <w:r w:rsidR="00116BB8">
        <w:rPr>
          <w:szCs w:val="28"/>
        </w:rPr>
        <w:t xml:space="preserve"> EQS rises is a relatively short period that does not affect the annual average enough to cause the wat</w:t>
      </w:r>
      <w:r w:rsidR="009A1163">
        <w:rPr>
          <w:szCs w:val="28"/>
        </w:rPr>
        <w:t>erbody to fail EQS, however, any</w:t>
      </w:r>
      <w:r w:rsidR="00116BB8">
        <w:rPr>
          <w:szCs w:val="28"/>
        </w:rPr>
        <w:t xml:space="preserve"> diffuse works undertaken to reduce zinc input are likely to have the additional benefit of causing lead to be reduced to a point where it is compliant in all flow conditions.</w:t>
      </w:r>
    </w:p>
    <w:p w14:paraId="30685EAA" w14:textId="77777777" w:rsidR="00B946D3" w:rsidRDefault="00B946D3" w:rsidP="00261ED1">
      <w:pPr>
        <w:rPr>
          <w:szCs w:val="28"/>
        </w:rPr>
      </w:pPr>
    </w:p>
    <w:p w14:paraId="5A5AAD03" w14:textId="77777777" w:rsidR="00B946D3" w:rsidRDefault="00B946D3" w:rsidP="00261ED1">
      <w:pPr>
        <w:rPr>
          <w:szCs w:val="28"/>
        </w:rPr>
      </w:pPr>
    </w:p>
    <w:p w14:paraId="63AC24E1" w14:textId="77777777" w:rsidR="00B946D3" w:rsidRPr="00B946D3" w:rsidRDefault="00B946D3" w:rsidP="00261ED1">
      <w:pPr>
        <w:rPr>
          <w:szCs w:val="28"/>
        </w:rPr>
      </w:pPr>
    </w:p>
    <w:p w14:paraId="2A44BCBD" w14:textId="77777777" w:rsidR="00B946D3" w:rsidRDefault="00B946D3" w:rsidP="00261ED1">
      <w:pPr>
        <w:rPr>
          <w:b/>
          <w:sz w:val="28"/>
          <w:szCs w:val="28"/>
        </w:rPr>
      </w:pPr>
    </w:p>
    <w:p w14:paraId="294263D0" w14:textId="77777777" w:rsidR="003B71B7" w:rsidRDefault="003B71B7" w:rsidP="00261ED1">
      <w:pPr>
        <w:rPr>
          <w:b/>
          <w:sz w:val="28"/>
          <w:szCs w:val="28"/>
        </w:rPr>
      </w:pPr>
      <w:r>
        <w:rPr>
          <w:b/>
          <w:sz w:val="28"/>
          <w:szCs w:val="28"/>
        </w:rPr>
        <w:t xml:space="preserve">MINDAR </w:t>
      </w:r>
      <w:r w:rsidR="00BC3482">
        <w:rPr>
          <w:b/>
          <w:sz w:val="28"/>
          <w:szCs w:val="28"/>
        </w:rPr>
        <w:t>–</w:t>
      </w:r>
      <w:r>
        <w:rPr>
          <w:b/>
          <w:sz w:val="28"/>
          <w:szCs w:val="28"/>
        </w:rPr>
        <w:t xml:space="preserve"> </w:t>
      </w:r>
      <w:r w:rsidR="00BC3482">
        <w:rPr>
          <w:b/>
          <w:sz w:val="28"/>
          <w:szCs w:val="28"/>
        </w:rPr>
        <w:t xml:space="preserve">metal </w:t>
      </w:r>
      <w:r>
        <w:rPr>
          <w:b/>
          <w:sz w:val="28"/>
          <w:szCs w:val="28"/>
        </w:rPr>
        <w:t>bioavailab</w:t>
      </w:r>
      <w:r w:rsidR="00BC3482">
        <w:rPr>
          <w:b/>
          <w:sz w:val="28"/>
          <w:szCs w:val="28"/>
        </w:rPr>
        <w:t>ility</w:t>
      </w:r>
      <w:r>
        <w:rPr>
          <w:b/>
          <w:sz w:val="28"/>
          <w:szCs w:val="28"/>
        </w:rPr>
        <w:t xml:space="preserve"> and potential improvements with treatment</w:t>
      </w:r>
    </w:p>
    <w:p w14:paraId="39ADB802" w14:textId="72D2C7CE" w:rsidR="00C5631C" w:rsidRDefault="009A1163" w:rsidP="009A1163">
      <w:pPr>
        <w:rPr>
          <w:rFonts w:cs="Arial"/>
          <w:szCs w:val="22"/>
        </w:rPr>
      </w:pPr>
      <w:r w:rsidRPr="005141D4">
        <w:rPr>
          <w:rFonts w:cs="Arial"/>
          <w:szCs w:val="22"/>
        </w:rPr>
        <w:t xml:space="preserve">Using a source apportionment tool created by Newcastle and Hull Universities, which had been loaded with results from 12 samples taken across a 12 month period </w:t>
      </w:r>
      <w:r>
        <w:rPr>
          <w:rFonts w:cs="Arial"/>
          <w:szCs w:val="22"/>
        </w:rPr>
        <w:t xml:space="preserve"> (</w:t>
      </w:r>
      <w:r w:rsidRPr="005141D4">
        <w:rPr>
          <w:rFonts w:cs="Arial"/>
          <w:szCs w:val="22"/>
        </w:rPr>
        <w:t xml:space="preserve">from </w:t>
      </w:r>
      <w:r>
        <w:rPr>
          <w:rFonts w:cs="Arial"/>
          <w:szCs w:val="22"/>
        </w:rPr>
        <w:t>January</w:t>
      </w:r>
      <w:r w:rsidRPr="005141D4">
        <w:rPr>
          <w:rFonts w:cs="Arial"/>
          <w:szCs w:val="22"/>
        </w:rPr>
        <w:t xml:space="preserve"> – </w:t>
      </w:r>
      <w:r>
        <w:rPr>
          <w:rFonts w:cs="Arial"/>
          <w:szCs w:val="22"/>
        </w:rPr>
        <w:t>December</w:t>
      </w:r>
      <w:r w:rsidRPr="005141D4">
        <w:rPr>
          <w:rFonts w:cs="Arial"/>
          <w:szCs w:val="22"/>
        </w:rPr>
        <w:t xml:space="preserve"> 201</w:t>
      </w:r>
      <w:r>
        <w:rPr>
          <w:rFonts w:cs="Arial"/>
          <w:szCs w:val="22"/>
        </w:rPr>
        <w:t>4)</w:t>
      </w:r>
      <w:r w:rsidRPr="005141D4">
        <w:rPr>
          <w:rFonts w:cs="Arial"/>
          <w:szCs w:val="22"/>
        </w:rPr>
        <w:t xml:space="preserve">, I ran a number of treatment scenarios to ascertain what treatment was required to achieve EQS compliance at </w:t>
      </w:r>
      <w:r>
        <w:rPr>
          <w:rFonts w:cs="Arial"/>
          <w:szCs w:val="22"/>
        </w:rPr>
        <w:t>b</w:t>
      </w:r>
      <w:r w:rsidR="00C5631C">
        <w:rPr>
          <w:rFonts w:cs="Arial"/>
          <w:szCs w:val="22"/>
        </w:rPr>
        <w:t>oth WA2 downs</w:t>
      </w:r>
      <w:r>
        <w:rPr>
          <w:rFonts w:cs="Arial"/>
          <w:szCs w:val="22"/>
        </w:rPr>
        <w:t>t</w:t>
      </w:r>
      <w:r w:rsidR="00C5631C">
        <w:rPr>
          <w:rFonts w:cs="Arial"/>
          <w:szCs w:val="22"/>
        </w:rPr>
        <w:t>r</w:t>
      </w:r>
      <w:r>
        <w:rPr>
          <w:rFonts w:cs="Arial"/>
          <w:szCs w:val="22"/>
        </w:rPr>
        <w:t xml:space="preserve">eam of the mine site and WA1 at Hindley </w:t>
      </w:r>
      <w:r w:rsidR="00695ACE">
        <w:rPr>
          <w:rFonts w:cs="Arial"/>
          <w:szCs w:val="22"/>
        </w:rPr>
        <w:t>W</w:t>
      </w:r>
      <w:r>
        <w:rPr>
          <w:rFonts w:cs="Arial"/>
          <w:szCs w:val="22"/>
        </w:rPr>
        <w:t>rae</w:t>
      </w:r>
      <w:r w:rsidRPr="005141D4">
        <w:rPr>
          <w:rFonts w:cs="Arial"/>
          <w:szCs w:val="22"/>
        </w:rPr>
        <w:t xml:space="preserve">. The individual results for these scenarios are available in </w:t>
      </w:r>
      <w:r w:rsidRPr="00CD5C2E">
        <w:rPr>
          <w:rFonts w:cs="Arial"/>
          <w:szCs w:val="22"/>
        </w:rPr>
        <w:t xml:space="preserve">appendix </w:t>
      </w:r>
      <w:r w:rsidR="00695ACE">
        <w:rPr>
          <w:rFonts w:cs="Arial"/>
          <w:szCs w:val="22"/>
        </w:rPr>
        <w:t>3</w:t>
      </w:r>
      <w:r w:rsidR="00440699">
        <w:rPr>
          <w:rFonts w:cs="Arial"/>
          <w:szCs w:val="22"/>
        </w:rPr>
        <w:t>, the predicted concentration for each flow event, a graph to show how treatment affects the concentration as flows increase in relation to the EQS value, there is also an annual average metal removal which is calculated using the following formula:</w:t>
      </w:r>
    </w:p>
    <w:p w14:paraId="1D1439BD" w14:textId="5D877405" w:rsidR="00440699" w:rsidRDefault="00440699" w:rsidP="009A1163">
      <w:pPr>
        <w:rPr>
          <w:rFonts w:cs="Arial"/>
          <w:szCs w:val="22"/>
        </w:rPr>
      </w:pPr>
      <w:r>
        <w:rPr>
          <w:rFonts w:cs="Arial"/>
          <w:szCs w:val="22"/>
        </w:rPr>
        <w:tab/>
      </w:r>
    </w:p>
    <w:p w14:paraId="2D4685FA" w14:textId="0BBE77BD" w:rsidR="00440699" w:rsidRPr="00AF176E" w:rsidRDefault="00AF176E" w:rsidP="00440699">
      <w:pPr>
        <w:ind w:firstLine="720"/>
        <w:jc w:val="center"/>
        <w:rPr>
          <w:rFonts w:cs="Arial"/>
          <w:sz w:val="18"/>
          <w:szCs w:val="22"/>
        </w:rPr>
      </w:pPr>
      <w:r w:rsidRPr="00AF176E">
        <w:rPr>
          <w:rFonts w:cs="Arial"/>
          <w:sz w:val="18"/>
          <w:szCs w:val="22"/>
          <w:u w:val="single"/>
        </w:rPr>
        <w:t>Annual average m</w:t>
      </w:r>
      <w:r w:rsidR="00440699" w:rsidRPr="00AF176E">
        <w:rPr>
          <w:rFonts w:cs="Arial"/>
          <w:sz w:val="18"/>
          <w:szCs w:val="22"/>
          <w:u w:val="single"/>
        </w:rPr>
        <w:t xml:space="preserve">easured concentration (no treatment) – </w:t>
      </w:r>
      <w:r w:rsidRPr="00AF176E">
        <w:rPr>
          <w:rFonts w:cs="Arial"/>
          <w:sz w:val="18"/>
          <w:szCs w:val="22"/>
          <w:u w:val="single"/>
        </w:rPr>
        <w:t xml:space="preserve">Annual average </w:t>
      </w:r>
      <w:r w:rsidR="00440699" w:rsidRPr="00AF176E">
        <w:rPr>
          <w:rFonts w:cs="Arial"/>
          <w:sz w:val="18"/>
          <w:szCs w:val="22"/>
          <w:u w:val="single"/>
        </w:rPr>
        <w:t>predicted concentration (after treatment)</w:t>
      </w:r>
      <w:r w:rsidRPr="00AF176E">
        <w:rPr>
          <w:rFonts w:cs="Arial"/>
          <w:sz w:val="18"/>
          <w:szCs w:val="22"/>
        </w:rPr>
        <w:t xml:space="preserve"> x 100</w:t>
      </w:r>
    </w:p>
    <w:p w14:paraId="5A1ADC27" w14:textId="569D6FFC" w:rsidR="00440699" w:rsidRPr="00AF176E" w:rsidRDefault="00AF176E" w:rsidP="00440699">
      <w:pPr>
        <w:ind w:firstLine="720"/>
        <w:jc w:val="center"/>
        <w:rPr>
          <w:rFonts w:cs="Arial"/>
          <w:szCs w:val="22"/>
        </w:rPr>
      </w:pPr>
      <w:r w:rsidRPr="00AF176E">
        <w:rPr>
          <w:rFonts w:cs="Arial"/>
          <w:sz w:val="18"/>
          <w:szCs w:val="22"/>
        </w:rPr>
        <w:t>Measured concentration (no treatment)</w:t>
      </w:r>
    </w:p>
    <w:p w14:paraId="0E780770" w14:textId="77777777" w:rsidR="009A1163" w:rsidRPr="005141D4" w:rsidRDefault="009A1163" w:rsidP="009A1163">
      <w:pPr>
        <w:rPr>
          <w:rFonts w:cs="Arial"/>
          <w:szCs w:val="22"/>
        </w:rPr>
      </w:pPr>
    </w:p>
    <w:p w14:paraId="2DC212C7" w14:textId="365CE32D" w:rsidR="009A1163" w:rsidRDefault="009A1163" w:rsidP="009A1163">
      <w:pPr>
        <w:rPr>
          <w:rFonts w:cs="Arial"/>
          <w:szCs w:val="22"/>
        </w:rPr>
      </w:pPr>
      <w:r w:rsidRPr="005141D4">
        <w:rPr>
          <w:rFonts w:cs="Arial"/>
          <w:szCs w:val="22"/>
        </w:rPr>
        <w:t xml:space="preserve">For </w:t>
      </w:r>
      <w:r w:rsidR="001C260D">
        <w:rPr>
          <w:rFonts w:cs="Arial"/>
          <w:szCs w:val="22"/>
        </w:rPr>
        <w:t>Barney Craig</w:t>
      </w:r>
      <w:r w:rsidRPr="005141D4">
        <w:rPr>
          <w:rFonts w:cs="Arial"/>
          <w:szCs w:val="22"/>
        </w:rPr>
        <w:t xml:space="preserve"> a treatment reduction of 9</w:t>
      </w:r>
      <w:r w:rsidR="00C5631C">
        <w:rPr>
          <w:rFonts w:cs="Arial"/>
          <w:szCs w:val="22"/>
        </w:rPr>
        <w:t>5</w:t>
      </w:r>
      <w:r w:rsidRPr="005141D4">
        <w:rPr>
          <w:rFonts w:cs="Arial"/>
          <w:szCs w:val="22"/>
        </w:rPr>
        <w:t>% was applied</w:t>
      </w:r>
      <w:r w:rsidR="00171CED">
        <w:rPr>
          <w:rFonts w:cs="Arial"/>
          <w:szCs w:val="22"/>
        </w:rPr>
        <w:t xml:space="preserve"> </w:t>
      </w:r>
      <w:r w:rsidR="00B407D4">
        <w:rPr>
          <w:rFonts w:cs="Arial"/>
          <w:szCs w:val="22"/>
        </w:rPr>
        <w:t>up</w:t>
      </w:r>
      <w:r w:rsidR="00171CED">
        <w:rPr>
          <w:rFonts w:cs="Arial"/>
          <w:szCs w:val="22"/>
        </w:rPr>
        <w:t>to 20l/s</w:t>
      </w:r>
      <w:r w:rsidRPr="005141D4">
        <w:rPr>
          <w:rFonts w:cs="Arial"/>
          <w:szCs w:val="22"/>
        </w:rPr>
        <w:t>,</w:t>
      </w:r>
      <w:r w:rsidR="00695ACE">
        <w:rPr>
          <w:rFonts w:cs="Arial"/>
          <w:szCs w:val="22"/>
        </w:rPr>
        <w:t xml:space="preserve"> flows above this were left un</w:t>
      </w:r>
      <w:r w:rsidR="00B407D4">
        <w:rPr>
          <w:rFonts w:cs="Arial"/>
          <w:szCs w:val="22"/>
        </w:rPr>
        <w:t>treated,</w:t>
      </w:r>
      <w:r w:rsidRPr="005141D4">
        <w:rPr>
          <w:rFonts w:cs="Arial"/>
          <w:szCs w:val="22"/>
        </w:rPr>
        <w:t xml:space="preserve"> thi</w:t>
      </w:r>
      <w:r w:rsidR="00B407D4">
        <w:rPr>
          <w:rFonts w:cs="Arial"/>
          <w:szCs w:val="22"/>
        </w:rPr>
        <w:t>s treatment percentage is</w:t>
      </w:r>
      <w:r w:rsidRPr="005141D4">
        <w:rPr>
          <w:rFonts w:cs="Arial"/>
          <w:szCs w:val="22"/>
        </w:rPr>
        <w:t xml:space="preserve"> based on results from the Force Crag treatment scheme. Diffuse interventions are open to more environmental variation and predicting the efficiencies of interventions </w:t>
      </w:r>
      <w:r w:rsidR="00C5631C">
        <w:rPr>
          <w:rFonts w:cs="Arial"/>
          <w:szCs w:val="22"/>
        </w:rPr>
        <w:t xml:space="preserve">is not easily quantifiable but </w:t>
      </w:r>
      <w:r w:rsidR="001D08D8">
        <w:rPr>
          <w:rFonts w:cs="Arial"/>
          <w:szCs w:val="22"/>
        </w:rPr>
        <w:t xml:space="preserve">for the purposes of this assessment </w:t>
      </w:r>
      <w:r w:rsidR="00060F78">
        <w:rPr>
          <w:rFonts w:cs="Arial"/>
          <w:szCs w:val="22"/>
        </w:rPr>
        <w:t>a figure</w:t>
      </w:r>
      <w:r w:rsidR="001D08D8">
        <w:rPr>
          <w:rFonts w:cs="Arial"/>
          <w:szCs w:val="22"/>
        </w:rPr>
        <w:t xml:space="preserve"> of 50</w:t>
      </w:r>
      <w:r w:rsidR="00060F78">
        <w:rPr>
          <w:rFonts w:cs="Arial"/>
          <w:szCs w:val="22"/>
        </w:rPr>
        <w:t xml:space="preserve">% diffuse reduction was used to quantify improvements </w:t>
      </w:r>
      <w:r w:rsidR="001C260D">
        <w:rPr>
          <w:rFonts w:cs="Arial"/>
          <w:szCs w:val="22"/>
        </w:rPr>
        <w:t>from treatment of the tailings dam</w:t>
      </w:r>
      <w:r w:rsidR="00060F78">
        <w:rPr>
          <w:rFonts w:cs="Arial"/>
          <w:szCs w:val="22"/>
        </w:rPr>
        <w:t xml:space="preserve"> and 40% was used to quantify </w:t>
      </w:r>
      <w:r w:rsidR="001C260D">
        <w:rPr>
          <w:rFonts w:cs="Arial"/>
          <w:szCs w:val="22"/>
        </w:rPr>
        <w:t xml:space="preserve">diffuse </w:t>
      </w:r>
      <w:r w:rsidR="00060F78">
        <w:rPr>
          <w:rFonts w:cs="Arial"/>
          <w:szCs w:val="22"/>
        </w:rPr>
        <w:t>improvements upstream of WA6</w:t>
      </w:r>
      <w:r w:rsidR="001C260D">
        <w:rPr>
          <w:rFonts w:cs="Arial"/>
          <w:szCs w:val="22"/>
        </w:rPr>
        <w:t xml:space="preserve"> at Coal cleugh</w:t>
      </w:r>
      <w:r w:rsidR="00060F78">
        <w:rPr>
          <w:rFonts w:cs="Arial"/>
          <w:szCs w:val="22"/>
        </w:rPr>
        <w:t xml:space="preserve"> because the area is larger and less intervention are planned for this area.</w:t>
      </w:r>
      <w:r w:rsidR="001C260D">
        <w:rPr>
          <w:rFonts w:cs="Arial"/>
          <w:szCs w:val="22"/>
        </w:rPr>
        <w:t xml:space="preserve"> A scenario has also been included to show the impact of treatment of flow from coal cleugh adit, to achieve this a figure of 90% reduction has been applied to WA7 because the majority of zinc and cadmium upstream of this point are attributable to the adit but not all, hence the full 95% treatment has not been used.</w:t>
      </w:r>
    </w:p>
    <w:p w14:paraId="20E9D540" w14:textId="77777777" w:rsidR="001C260D" w:rsidRDefault="001C260D" w:rsidP="009A1163">
      <w:pPr>
        <w:rPr>
          <w:rFonts w:cs="Arial"/>
          <w:szCs w:val="22"/>
        </w:rPr>
      </w:pPr>
    </w:p>
    <w:p w14:paraId="45A6BFB2" w14:textId="793916C1" w:rsidR="001C260D" w:rsidRPr="001C260D" w:rsidRDefault="001C260D" w:rsidP="001C260D">
      <w:pPr>
        <w:pStyle w:val="ListParagraph"/>
        <w:numPr>
          <w:ilvl w:val="0"/>
          <w:numId w:val="29"/>
        </w:numPr>
        <w:rPr>
          <w:rFonts w:cs="Arial"/>
          <w:szCs w:val="22"/>
        </w:rPr>
      </w:pPr>
      <w:r w:rsidRPr="001C260D">
        <w:rPr>
          <w:rFonts w:cs="Arial"/>
          <w:szCs w:val="22"/>
        </w:rPr>
        <w:t xml:space="preserve">Barney </w:t>
      </w:r>
      <w:r w:rsidR="00695ACE" w:rsidRPr="001C260D">
        <w:rPr>
          <w:rFonts w:cs="Arial"/>
          <w:szCs w:val="22"/>
        </w:rPr>
        <w:t>Craig</w:t>
      </w:r>
      <w:r w:rsidRPr="001C260D">
        <w:rPr>
          <w:rFonts w:cs="Arial"/>
          <w:szCs w:val="22"/>
        </w:rPr>
        <w:t xml:space="preserve"> – 95% reduction</w:t>
      </w:r>
    </w:p>
    <w:p w14:paraId="6E51C054" w14:textId="7134BA87" w:rsidR="001C260D" w:rsidRPr="001C260D" w:rsidRDefault="001C260D" w:rsidP="001C260D">
      <w:pPr>
        <w:pStyle w:val="ListParagraph"/>
        <w:numPr>
          <w:ilvl w:val="0"/>
          <w:numId w:val="29"/>
        </w:numPr>
        <w:rPr>
          <w:rFonts w:cs="Arial"/>
          <w:szCs w:val="22"/>
        </w:rPr>
      </w:pPr>
      <w:r w:rsidRPr="001C260D">
        <w:rPr>
          <w:rFonts w:cs="Arial"/>
          <w:szCs w:val="22"/>
        </w:rPr>
        <w:t>Tailings dam – 50% reduction</w:t>
      </w:r>
    </w:p>
    <w:p w14:paraId="3A1921DC" w14:textId="22CBC289" w:rsidR="001C260D" w:rsidRPr="001C260D" w:rsidRDefault="001C260D" w:rsidP="001C260D">
      <w:pPr>
        <w:pStyle w:val="ListParagraph"/>
        <w:numPr>
          <w:ilvl w:val="0"/>
          <w:numId w:val="29"/>
        </w:numPr>
        <w:rPr>
          <w:rFonts w:cs="Arial"/>
          <w:szCs w:val="22"/>
        </w:rPr>
      </w:pPr>
      <w:r w:rsidRPr="001C260D">
        <w:rPr>
          <w:rFonts w:cs="Arial"/>
          <w:szCs w:val="22"/>
        </w:rPr>
        <w:t>Coal cleugh diffuse – 40% reduction</w:t>
      </w:r>
    </w:p>
    <w:p w14:paraId="4FDE6B6B" w14:textId="6E46EF57" w:rsidR="001C260D" w:rsidRPr="001C260D" w:rsidRDefault="001C260D" w:rsidP="001C260D">
      <w:pPr>
        <w:pStyle w:val="ListParagraph"/>
        <w:numPr>
          <w:ilvl w:val="0"/>
          <w:numId w:val="29"/>
        </w:numPr>
        <w:rPr>
          <w:rFonts w:cs="Arial"/>
          <w:szCs w:val="22"/>
        </w:rPr>
      </w:pPr>
      <w:r w:rsidRPr="001C260D">
        <w:rPr>
          <w:rFonts w:cs="Arial"/>
          <w:szCs w:val="22"/>
        </w:rPr>
        <w:t>Coal cleugh adit – 90% reduction of WA7</w:t>
      </w:r>
    </w:p>
    <w:p w14:paraId="60B5EE98" w14:textId="77777777" w:rsidR="00060F78" w:rsidRDefault="00060F78" w:rsidP="009A1163">
      <w:pPr>
        <w:rPr>
          <w:rFonts w:cs="Arial"/>
          <w:szCs w:val="22"/>
        </w:rPr>
      </w:pPr>
    </w:p>
    <w:p w14:paraId="3E8F1962" w14:textId="6CB17685" w:rsidR="00060F78" w:rsidRDefault="00060F78" w:rsidP="009A1163">
      <w:pPr>
        <w:rPr>
          <w:rFonts w:cs="Arial"/>
          <w:szCs w:val="22"/>
        </w:rPr>
      </w:pPr>
      <w:r>
        <w:rPr>
          <w:rFonts w:cs="Arial"/>
          <w:szCs w:val="22"/>
        </w:rPr>
        <w:t xml:space="preserve">Table </w:t>
      </w:r>
      <w:r w:rsidR="00695ACE">
        <w:rPr>
          <w:rFonts w:cs="Arial"/>
          <w:szCs w:val="22"/>
        </w:rPr>
        <w:t>11</w:t>
      </w:r>
      <w:r>
        <w:rPr>
          <w:rFonts w:cs="Arial"/>
          <w:szCs w:val="22"/>
        </w:rPr>
        <w:t xml:space="preserve"> below shows the</w:t>
      </w:r>
      <w:r w:rsidR="006C2001">
        <w:rPr>
          <w:rFonts w:cs="Arial"/>
          <w:szCs w:val="22"/>
        </w:rPr>
        <w:t xml:space="preserve"> impact of the</w:t>
      </w:r>
      <w:r>
        <w:rPr>
          <w:rFonts w:cs="Arial"/>
          <w:szCs w:val="22"/>
        </w:rPr>
        <w:t xml:space="preserve"> tr</w:t>
      </w:r>
      <w:r w:rsidR="006C2001">
        <w:rPr>
          <w:rFonts w:cs="Arial"/>
          <w:szCs w:val="22"/>
        </w:rPr>
        <w:t>eatment scenarios at WA2 downstream of the mine site</w:t>
      </w:r>
      <w:r>
        <w:rPr>
          <w:rFonts w:cs="Arial"/>
          <w:szCs w:val="22"/>
        </w:rPr>
        <w:t xml:space="preserve"> and</w:t>
      </w:r>
      <w:r w:rsidR="00695ACE">
        <w:rPr>
          <w:rFonts w:cs="Arial"/>
          <w:szCs w:val="22"/>
        </w:rPr>
        <w:t xml:space="preserve"> WA1 at Hindley W</w:t>
      </w:r>
      <w:r w:rsidR="00F91FC2">
        <w:rPr>
          <w:rFonts w:cs="Arial"/>
          <w:szCs w:val="22"/>
        </w:rPr>
        <w:t>rae ford,</w:t>
      </w:r>
      <w:r>
        <w:rPr>
          <w:rFonts w:cs="Arial"/>
          <w:szCs w:val="22"/>
        </w:rPr>
        <w:t xml:space="preserve"> the effectiveness </w:t>
      </w:r>
      <w:r w:rsidR="00F91FC2">
        <w:rPr>
          <w:rFonts w:cs="Arial"/>
          <w:szCs w:val="22"/>
        </w:rPr>
        <w:t xml:space="preserve">is </w:t>
      </w:r>
      <w:r>
        <w:rPr>
          <w:rFonts w:cs="Arial"/>
          <w:szCs w:val="22"/>
        </w:rPr>
        <w:t>measured in number of flow events that achieve EQS</w:t>
      </w:r>
    </w:p>
    <w:p w14:paraId="4DAA311E" w14:textId="77777777" w:rsidR="00060F78" w:rsidRDefault="00060F78" w:rsidP="009A1163">
      <w:pPr>
        <w:rPr>
          <w:rFonts w:cs="Arial"/>
          <w:szCs w:val="22"/>
        </w:rPr>
      </w:pPr>
    </w:p>
    <w:tbl>
      <w:tblPr>
        <w:tblStyle w:val="TableGrid"/>
        <w:tblW w:w="11165" w:type="dxa"/>
        <w:tblLayout w:type="fixed"/>
        <w:tblLook w:val="04A0" w:firstRow="1" w:lastRow="0" w:firstColumn="1" w:lastColumn="0" w:noHBand="0" w:noVBand="1"/>
      </w:tblPr>
      <w:tblGrid>
        <w:gridCol w:w="2802"/>
        <w:gridCol w:w="1559"/>
        <w:gridCol w:w="1276"/>
        <w:gridCol w:w="1559"/>
        <w:gridCol w:w="1276"/>
        <w:gridCol w:w="1559"/>
        <w:gridCol w:w="1134"/>
      </w:tblGrid>
      <w:tr w:rsidR="00F91FC2" w14:paraId="097DC14A" w14:textId="77777777" w:rsidTr="00F91FC2">
        <w:tc>
          <w:tcPr>
            <w:tcW w:w="2802" w:type="dxa"/>
          </w:tcPr>
          <w:p w14:paraId="691093C2" w14:textId="09DF8097" w:rsidR="00F91FC2" w:rsidRDefault="00F91FC2" w:rsidP="001C260D">
            <w:pPr>
              <w:jc w:val="center"/>
              <w:rPr>
                <w:rFonts w:cs="Arial"/>
                <w:szCs w:val="22"/>
              </w:rPr>
            </w:pPr>
            <w:r>
              <w:rPr>
                <w:rFonts w:cs="Arial"/>
                <w:szCs w:val="22"/>
              </w:rPr>
              <w:t>Treatment scenarios</w:t>
            </w:r>
          </w:p>
        </w:tc>
        <w:tc>
          <w:tcPr>
            <w:tcW w:w="2835" w:type="dxa"/>
            <w:gridSpan w:val="2"/>
          </w:tcPr>
          <w:p w14:paraId="3C01651D" w14:textId="760B6C3D" w:rsidR="00F91FC2" w:rsidRDefault="00F91FC2" w:rsidP="001C260D">
            <w:pPr>
              <w:jc w:val="center"/>
              <w:rPr>
                <w:rFonts w:cs="Arial"/>
                <w:szCs w:val="22"/>
              </w:rPr>
            </w:pPr>
            <w:r>
              <w:rPr>
                <w:rFonts w:cs="Arial"/>
                <w:szCs w:val="22"/>
              </w:rPr>
              <w:t>Zinc</w:t>
            </w:r>
          </w:p>
        </w:tc>
        <w:tc>
          <w:tcPr>
            <w:tcW w:w="2835" w:type="dxa"/>
            <w:gridSpan w:val="2"/>
          </w:tcPr>
          <w:p w14:paraId="05FECD11" w14:textId="4B5EB049" w:rsidR="00F91FC2" w:rsidRDefault="00F91FC2" w:rsidP="001C260D">
            <w:pPr>
              <w:jc w:val="center"/>
              <w:rPr>
                <w:rFonts w:cs="Arial"/>
                <w:szCs w:val="22"/>
              </w:rPr>
            </w:pPr>
            <w:r>
              <w:rPr>
                <w:rFonts w:cs="Arial"/>
                <w:szCs w:val="22"/>
              </w:rPr>
              <w:t>Cadmium</w:t>
            </w:r>
          </w:p>
        </w:tc>
        <w:tc>
          <w:tcPr>
            <w:tcW w:w="2693" w:type="dxa"/>
            <w:gridSpan w:val="2"/>
          </w:tcPr>
          <w:p w14:paraId="7A257170" w14:textId="5DE85759" w:rsidR="00F91FC2" w:rsidRDefault="00F91FC2" w:rsidP="001C260D">
            <w:pPr>
              <w:jc w:val="center"/>
              <w:rPr>
                <w:rFonts w:cs="Arial"/>
                <w:szCs w:val="22"/>
              </w:rPr>
            </w:pPr>
            <w:r>
              <w:rPr>
                <w:rFonts w:cs="Arial"/>
                <w:szCs w:val="22"/>
              </w:rPr>
              <w:t>Lead</w:t>
            </w:r>
          </w:p>
        </w:tc>
      </w:tr>
      <w:tr w:rsidR="00F91FC2" w14:paraId="41DBF868" w14:textId="77777777" w:rsidTr="00F91FC2">
        <w:tc>
          <w:tcPr>
            <w:tcW w:w="2802" w:type="dxa"/>
          </w:tcPr>
          <w:p w14:paraId="6B12B2CB" w14:textId="77777777" w:rsidR="00F91FC2" w:rsidRDefault="00F91FC2" w:rsidP="001C260D">
            <w:pPr>
              <w:jc w:val="center"/>
              <w:rPr>
                <w:rFonts w:cs="Arial"/>
                <w:szCs w:val="22"/>
              </w:rPr>
            </w:pPr>
          </w:p>
        </w:tc>
        <w:tc>
          <w:tcPr>
            <w:tcW w:w="1559" w:type="dxa"/>
          </w:tcPr>
          <w:p w14:paraId="568758C2" w14:textId="0250C299" w:rsidR="00F91FC2" w:rsidRDefault="00F91FC2" w:rsidP="001C260D">
            <w:pPr>
              <w:jc w:val="center"/>
              <w:rPr>
                <w:rFonts w:cs="Arial"/>
                <w:szCs w:val="22"/>
              </w:rPr>
            </w:pPr>
            <w:r>
              <w:rPr>
                <w:rFonts w:cs="Arial"/>
                <w:szCs w:val="22"/>
              </w:rPr>
              <w:t>Downstream of mine site</w:t>
            </w:r>
          </w:p>
        </w:tc>
        <w:tc>
          <w:tcPr>
            <w:tcW w:w="1276" w:type="dxa"/>
          </w:tcPr>
          <w:p w14:paraId="47620CBB" w14:textId="7FBBA814" w:rsidR="00F91FC2" w:rsidRDefault="00F91FC2" w:rsidP="001C260D">
            <w:pPr>
              <w:jc w:val="center"/>
              <w:rPr>
                <w:rFonts w:cs="Arial"/>
                <w:szCs w:val="22"/>
              </w:rPr>
            </w:pPr>
            <w:r>
              <w:rPr>
                <w:rFonts w:cs="Arial"/>
                <w:szCs w:val="22"/>
              </w:rPr>
              <w:t>Hindley Wrae</w:t>
            </w:r>
          </w:p>
        </w:tc>
        <w:tc>
          <w:tcPr>
            <w:tcW w:w="1559" w:type="dxa"/>
          </w:tcPr>
          <w:p w14:paraId="0BBBCC07" w14:textId="6F4622FF" w:rsidR="00F91FC2" w:rsidRDefault="00F91FC2" w:rsidP="001C260D">
            <w:pPr>
              <w:jc w:val="center"/>
              <w:rPr>
                <w:rFonts w:cs="Arial"/>
                <w:szCs w:val="22"/>
              </w:rPr>
            </w:pPr>
            <w:r>
              <w:rPr>
                <w:rFonts w:cs="Arial"/>
                <w:szCs w:val="22"/>
              </w:rPr>
              <w:t>Downstream of mine site</w:t>
            </w:r>
          </w:p>
        </w:tc>
        <w:tc>
          <w:tcPr>
            <w:tcW w:w="1276" w:type="dxa"/>
          </w:tcPr>
          <w:p w14:paraId="178F4CDC" w14:textId="6A26E240" w:rsidR="00F91FC2" w:rsidRDefault="00F91FC2" w:rsidP="001C260D">
            <w:pPr>
              <w:jc w:val="center"/>
              <w:rPr>
                <w:rFonts w:cs="Arial"/>
                <w:szCs w:val="22"/>
              </w:rPr>
            </w:pPr>
            <w:r>
              <w:rPr>
                <w:rFonts w:cs="Arial"/>
                <w:szCs w:val="22"/>
              </w:rPr>
              <w:t>Hindley Wrae</w:t>
            </w:r>
          </w:p>
        </w:tc>
        <w:tc>
          <w:tcPr>
            <w:tcW w:w="1559" w:type="dxa"/>
          </w:tcPr>
          <w:p w14:paraId="3210FDA4" w14:textId="70B9926A" w:rsidR="00F91FC2" w:rsidRDefault="00F91FC2" w:rsidP="001C260D">
            <w:pPr>
              <w:jc w:val="center"/>
              <w:rPr>
                <w:rFonts w:cs="Arial"/>
                <w:szCs w:val="22"/>
              </w:rPr>
            </w:pPr>
            <w:r>
              <w:rPr>
                <w:rFonts w:cs="Arial"/>
                <w:szCs w:val="22"/>
              </w:rPr>
              <w:t>Downstream of mine site</w:t>
            </w:r>
          </w:p>
        </w:tc>
        <w:tc>
          <w:tcPr>
            <w:tcW w:w="1134" w:type="dxa"/>
          </w:tcPr>
          <w:p w14:paraId="6F844F1D" w14:textId="70C2A250" w:rsidR="00F91FC2" w:rsidRDefault="00F91FC2" w:rsidP="001C260D">
            <w:pPr>
              <w:jc w:val="center"/>
              <w:rPr>
                <w:rFonts w:cs="Arial"/>
                <w:szCs w:val="22"/>
              </w:rPr>
            </w:pPr>
            <w:r>
              <w:rPr>
                <w:rFonts w:cs="Arial"/>
                <w:szCs w:val="22"/>
              </w:rPr>
              <w:t>Hindley Wrae</w:t>
            </w:r>
          </w:p>
        </w:tc>
      </w:tr>
      <w:tr w:rsidR="00F91FC2" w14:paraId="0F0C89D1" w14:textId="77777777" w:rsidTr="00F91FC2">
        <w:tc>
          <w:tcPr>
            <w:tcW w:w="2802" w:type="dxa"/>
          </w:tcPr>
          <w:p w14:paraId="386CE111" w14:textId="71FEC29A" w:rsidR="00F91FC2" w:rsidRDefault="00F91FC2" w:rsidP="001C260D">
            <w:pPr>
              <w:jc w:val="center"/>
              <w:rPr>
                <w:rFonts w:cs="Arial"/>
                <w:szCs w:val="22"/>
              </w:rPr>
            </w:pPr>
            <w:r>
              <w:rPr>
                <w:rFonts w:cs="Arial"/>
                <w:szCs w:val="22"/>
              </w:rPr>
              <w:t>No treatment</w:t>
            </w:r>
          </w:p>
        </w:tc>
        <w:tc>
          <w:tcPr>
            <w:tcW w:w="1559" w:type="dxa"/>
          </w:tcPr>
          <w:p w14:paraId="1C732E83" w14:textId="547387E6" w:rsidR="00F91FC2" w:rsidRDefault="00364384" w:rsidP="001C260D">
            <w:pPr>
              <w:jc w:val="center"/>
              <w:rPr>
                <w:rFonts w:cs="Arial"/>
                <w:szCs w:val="22"/>
              </w:rPr>
            </w:pPr>
            <w:r>
              <w:rPr>
                <w:rFonts w:cs="Arial"/>
                <w:szCs w:val="22"/>
              </w:rPr>
              <w:t>0/12</w:t>
            </w:r>
          </w:p>
        </w:tc>
        <w:tc>
          <w:tcPr>
            <w:tcW w:w="1276" w:type="dxa"/>
          </w:tcPr>
          <w:p w14:paraId="440310F5" w14:textId="6F901F86" w:rsidR="00F91FC2" w:rsidRDefault="00F63977" w:rsidP="001C260D">
            <w:pPr>
              <w:jc w:val="center"/>
              <w:rPr>
                <w:rFonts w:cs="Arial"/>
                <w:szCs w:val="22"/>
              </w:rPr>
            </w:pPr>
            <w:r>
              <w:rPr>
                <w:rFonts w:cs="Arial"/>
                <w:szCs w:val="22"/>
              </w:rPr>
              <w:t>0/12</w:t>
            </w:r>
          </w:p>
        </w:tc>
        <w:tc>
          <w:tcPr>
            <w:tcW w:w="1559" w:type="dxa"/>
          </w:tcPr>
          <w:p w14:paraId="44AE614B" w14:textId="7443A3E9" w:rsidR="00F91FC2" w:rsidRDefault="00364384" w:rsidP="001C260D">
            <w:pPr>
              <w:jc w:val="center"/>
              <w:rPr>
                <w:rFonts w:cs="Arial"/>
                <w:szCs w:val="22"/>
              </w:rPr>
            </w:pPr>
            <w:r>
              <w:rPr>
                <w:rFonts w:cs="Arial"/>
                <w:szCs w:val="22"/>
              </w:rPr>
              <w:t>0/12</w:t>
            </w:r>
          </w:p>
        </w:tc>
        <w:tc>
          <w:tcPr>
            <w:tcW w:w="1276" w:type="dxa"/>
          </w:tcPr>
          <w:p w14:paraId="798883CB" w14:textId="3B347D85" w:rsidR="00F91FC2" w:rsidRDefault="009C464D" w:rsidP="001C260D">
            <w:pPr>
              <w:jc w:val="center"/>
              <w:rPr>
                <w:rFonts w:cs="Arial"/>
                <w:szCs w:val="22"/>
              </w:rPr>
            </w:pPr>
            <w:r>
              <w:rPr>
                <w:rFonts w:cs="Arial"/>
                <w:szCs w:val="22"/>
              </w:rPr>
              <w:t>0/12</w:t>
            </w:r>
          </w:p>
        </w:tc>
        <w:tc>
          <w:tcPr>
            <w:tcW w:w="1559" w:type="dxa"/>
          </w:tcPr>
          <w:p w14:paraId="4C448D40" w14:textId="46CEBF92" w:rsidR="00F91FC2" w:rsidRDefault="00064EC9" w:rsidP="001C260D">
            <w:pPr>
              <w:jc w:val="center"/>
              <w:rPr>
                <w:rFonts w:cs="Arial"/>
                <w:szCs w:val="22"/>
              </w:rPr>
            </w:pPr>
            <w:r>
              <w:rPr>
                <w:rFonts w:cs="Arial"/>
                <w:szCs w:val="22"/>
              </w:rPr>
              <w:t>0/12</w:t>
            </w:r>
          </w:p>
        </w:tc>
        <w:tc>
          <w:tcPr>
            <w:tcW w:w="1134" w:type="dxa"/>
          </w:tcPr>
          <w:p w14:paraId="70D74F5D" w14:textId="08E232F7" w:rsidR="00F91FC2" w:rsidRDefault="009C464D" w:rsidP="001C260D">
            <w:pPr>
              <w:jc w:val="center"/>
              <w:rPr>
                <w:rFonts w:cs="Arial"/>
                <w:szCs w:val="22"/>
              </w:rPr>
            </w:pPr>
            <w:r>
              <w:rPr>
                <w:rFonts w:cs="Arial"/>
                <w:szCs w:val="22"/>
              </w:rPr>
              <w:t>12/12</w:t>
            </w:r>
            <w:r w:rsidR="003D31F7">
              <w:rPr>
                <w:rFonts w:cs="Arial"/>
                <w:szCs w:val="22"/>
              </w:rPr>
              <w:t>*</w:t>
            </w:r>
          </w:p>
        </w:tc>
      </w:tr>
      <w:tr w:rsidR="00F91FC2" w14:paraId="75AC7FD0" w14:textId="77777777" w:rsidTr="00F91FC2">
        <w:tc>
          <w:tcPr>
            <w:tcW w:w="2802" w:type="dxa"/>
          </w:tcPr>
          <w:p w14:paraId="6F0FC11C" w14:textId="0E74EB1F" w:rsidR="00F91FC2" w:rsidRDefault="00F91FC2" w:rsidP="001C260D">
            <w:pPr>
              <w:jc w:val="center"/>
              <w:rPr>
                <w:rFonts w:cs="Arial"/>
                <w:szCs w:val="22"/>
              </w:rPr>
            </w:pPr>
            <w:r>
              <w:rPr>
                <w:rFonts w:cs="Arial"/>
                <w:szCs w:val="22"/>
              </w:rPr>
              <w:t>Barney Craig</w:t>
            </w:r>
          </w:p>
        </w:tc>
        <w:tc>
          <w:tcPr>
            <w:tcW w:w="1559" w:type="dxa"/>
          </w:tcPr>
          <w:p w14:paraId="74E5506E" w14:textId="6F316109" w:rsidR="00F91FC2" w:rsidRDefault="00364384" w:rsidP="001C260D">
            <w:pPr>
              <w:jc w:val="center"/>
              <w:rPr>
                <w:rFonts w:cs="Arial"/>
                <w:szCs w:val="22"/>
              </w:rPr>
            </w:pPr>
            <w:r>
              <w:rPr>
                <w:rFonts w:cs="Arial"/>
                <w:szCs w:val="22"/>
              </w:rPr>
              <w:t>1/12</w:t>
            </w:r>
          </w:p>
        </w:tc>
        <w:tc>
          <w:tcPr>
            <w:tcW w:w="1276" w:type="dxa"/>
          </w:tcPr>
          <w:p w14:paraId="4A703320" w14:textId="7A46112F" w:rsidR="00F91FC2" w:rsidRDefault="00F63977" w:rsidP="001C260D">
            <w:pPr>
              <w:jc w:val="center"/>
              <w:rPr>
                <w:rFonts w:cs="Arial"/>
                <w:szCs w:val="22"/>
              </w:rPr>
            </w:pPr>
            <w:r>
              <w:rPr>
                <w:rFonts w:cs="Arial"/>
                <w:szCs w:val="22"/>
              </w:rPr>
              <w:t>7/12</w:t>
            </w:r>
          </w:p>
        </w:tc>
        <w:tc>
          <w:tcPr>
            <w:tcW w:w="1559" w:type="dxa"/>
          </w:tcPr>
          <w:p w14:paraId="4D663874" w14:textId="61F40BE4" w:rsidR="00F91FC2" w:rsidRDefault="00364384" w:rsidP="001C260D">
            <w:pPr>
              <w:jc w:val="center"/>
              <w:rPr>
                <w:rFonts w:cs="Arial"/>
                <w:szCs w:val="22"/>
              </w:rPr>
            </w:pPr>
            <w:r>
              <w:rPr>
                <w:rFonts w:cs="Arial"/>
                <w:szCs w:val="22"/>
              </w:rPr>
              <w:t>0/12</w:t>
            </w:r>
          </w:p>
        </w:tc>
        <w:tc>
          <w:tcPr>
            <w:tcW w:w="1276" w:type="dxa"/>
          </w:tcPr>
          <w:p w14:paraId="5B43B2AE" w14:textId="67C03799" w:rsidR="00F91FC2" w:rsidRDefault="009C464D" w:rsidP="001C260D">
            <w:pPr>
              <w:jc w:val="center"/>
              <w:rPr>
                <w:rFonts w:cs="Arial"/>
                <w:szCs w:val="22"/>
              </w:rPr>
            </w:pPr>
            <w:r>
              <w:rPr>
                <w:rFonts w:cs="Arial"/>
                <w:szCs w:val="22"/>
              </w:rPr>
              <w:t>4/12</w:t>
            </w:r>
          </w:p>
        </w:tc>
        <w:tc>
          <w:tcPr>
            <w:tcW w:w="1559" w:type="dxa"/>
          </w:tcPr>
          <w:p w14:paraId="77CC4751" w14:textId="04980D3F" w:rsidR="00F91FC2" w:rsidRDefault="00064EC9" w:rsidP="001C260D">
            <w:pPr>
              <w:jc w:val="center"/>
              <w:rPr>
                <w:rFonts w:cs="Arial"/>
                <w:szCs w:val="22"/>
              </w:rPr>
            </w:pPr>
            <w:r>
              <w:rPr>
                <w:rFonts w:cs="Arial"/>
                <w:szCs w:val="22"/>
              </w:rPr>
              <w:t>0/12</w:t>
            </w:r>
          </w:p>
        </w:tc>
        <w:tc>
          <w:tcPr>
            <w:tcW w:w="1134" w:type="dxa"/>
          </w:tcPr>
          <w:p w14:paraId="65908E35" w14:textId="5ABB7C80" w:rsidR="00F91FC2" w:rsidRDefault="003D31F7" w:rsidP="001C260D">
            <w:pPr>
              <w:jc w:val="center"/>
              <w:rPr>
                <w:rFonts w:cs="Arial"/>
                <w:szCs w:val="22"/>
              </w:rPr>
            </w:pPr>
            <w:r>
              <w:rPr>
                <w:rFonts w:cs="Arial"/>
                <w:szCs w:val="22"/>
              </w:rPr>
              <w:t>-</w:t>
            </w:r>
          </w:p>
        </w:tc>
      </w:tr>
      <w:tr w:rsidR="00F91FC2" w14:paraId="5D9D09C1" w14:textId="77777777" w:rsidTr="00F91FC2">
        <w:tc>
          <w:tcPr>
            <w:tcW w:w="2802" w:type="dxa"/>
          </w:tcPr>
          <w:p w14:paraId="75B0325D" w14:textId="23F24911" w:rsidR="00F91FC2" w:rsidRDefault="00F91FC2" w:rsidP="001C260D">
            <w:pPr>
              <w:jc w:val="center"/>
              <w:rPr>
                <w:rFonts w:cs="Arial"/>
                <w:szCs w:val="22"/>
              </w:rPr>
            </w:pPr>
            <w:r>
              <w:rPr>
                <w:rFonts w:cs="Arial"/>
                <w:szCs w:val="22"/>
              </w:rPr>
              <w:t>Barney Craig and tailings dam</w:t>
            </w:r>
          </w:p>
        </w:tc>
        <w:tc>
          <w:tcPr>
            <w:tcW w:w="1559" w:type="dxa"/>
          </w:tcPr>
          <w:p w14:paraId="176FCE7A" w14:textId="54649858" w:rsidR="00F91FC2" w:rsidRDefault="00364384" w:rsidP="001C260D">
            <w:pPr>
              <w:jc w:val="center"/>
              <w:rPr>
                <w:rFonts w:cs="Arial"/>
                <w:szCs w:val="22"/>
              </w:rPr>
            </w:pPr>
            <w:r>
              <w:rPr>
                <w:rFonts w:cs="Arial"/>
                <w:szCs w:val="22"/>
              </w:rPr>
              <w:t>1/12</w:t>
            </w:r>
          </w:p>
        </w:tc>
        <w:tc>
          <w:tcPr>
            <w:tcW w:w="1276" w:type="dxa"/>
          </w:tcPr>
          <w:p w14:paraId="038917E5" w14:textId="6D0E2C23" w:rsidR="00F91FC2" w:rsidRDefault="00F63977" w:rsidP="001C260D">
            <w:pPr>
              <w:jc w:val="center"/>
              <w:rPr>
                <w:rFonts w:cs="Arial"/>
                <w:szCs w:val="22"/>
              </w:rPr>
            </w:pPr>
            <w:r>
              <w:rPr>
                <w:rFonts w:cs="Arial"/>
                <w:szCs w:val="22"/>
              </w:rPr>
              <w:t>7/12</w:t>
            </w:r>
          </w:p>
        </w:tc>
        <w:tc>
          <w:tcPr>
            <w:tcW w:w="1559" w:type="dxa"/>
          </w:tcPr>
          <w:p w14:paraId="3D665447" w14:textId="2D398776" w:rsidR="00F91FC2" w:rsidRDefault="00364384" w:rsidP="001C260D">
            <w:pPr>
              <w:jc w:val="center"/>
              <w:rPr>
                <w:rFonts w:cs="Arial"/>
                <w:szCs w:val="22"/>
              </w:rPr>
            </w:pPr>
            <w:r>
              <w:rPr>
                <w:rFonts w:cs="Arial"/>
                <w:szCs w:val="22"/>
              </w:rPr>
              <w:t>0/12</w:t>
            </w:r>
          </w:p>
        </w:tc>
        <w:tc>
          <w:tcPr>
            <w:tcW w:w="1276" w:type="dxa"/>
          </w:tcPr>
          <w:p w14:paraId="3078B951" w14:textId="7E375DD3" w:rsidR="00F91FC2" w:rsidRDefault="009C464D" w:rsidP="001C260D">
            <w:pPr>
              <w:jc w:val="center"/>
              <w:rPr>
                <w:rFonts w:cs="Arial"/>
                <w:szCs w:val="22"/>
              </w:rPr>
            </w:pPr>
            <w:r>
              <w:rPr>
                <w:rFonts w:cs="Arial"/>
                <w:szCs w:val="22"/>
              </w:rPr>
              <w:t>4/12</w:t>
            </w:r>
          </w:p>
        </w:tc>
        <w:tc>
          <w:tcPr>
            <w:tcW w:w="1559" w:type="dxa"/>
          </w:tcPr>
          <w:p w14:paraId="07A3641A" w14:textId="5840EF1F" w:rsidR="00F91FC2" w:rsidRDefault="00064EC9" w:rsidP="001C260D">
            <w:pPr>
              <w:jc w:val="center"/>
              <w:rPr>
                <w:rFonts w:cs="Arial"/>
                <w:szCs w:val="22"/>
              </w:rPr>
            </w:pPr>
            <w:r>
              <w:rPr>
                <w:rFonts w:cs="Arial"/>
                <w:szCs w:val="22"/>
              </w:rPr>
              <w:t>1/12</w:t>
            </w:r>
          </w:p>
        </w:tc>
        <w:tc>
          <w:tcPr>
            <w:tcW w:w="1134" w:type="dxa"/>
          </w:tcPr>
          <w:p w14:paraId="19BC0874" w14:textId="66DA6F2B" w:rsidR="00F91FC2" w:rsidRDefault="003D31F7" w:rsidP="001C260D">
            <w:pPr>
              <w:jc w:val="center"/>
              <w:rPr>
                <w:rFonts w:cs="Arial"/>
                <w:szCs w:val="22"/>
              </w:rPr>
            </w:pPr>
            <w:r>
              <w:rPr>
                <w:rFonts w:cs="Arial"/>
                <w:szCs w:val="22"/>
              </w:rPr>
              <w:t>-</w:t>
            </w:r>
          </w:p>
        </w:tc>
      </w:tr>
      <w:tr w:rsidR="00F91FC2" w14:paraId="10538904" w14:textId="77777777" w:rsidTr="00F91FC2">
        <w:tc>
          <w:tcPr>
            <w:tcW w:w="2802" w:type="dxa"/>
          </w:tcPr>
          <w:p w14:paraId="6C8C131E" w14:textId="20B03BC9" w:rsidR="00F91FC2" w:rsidRDefault="00F91FC2" w:rsidP="001C260D">
            <w:pPr>
              <w:jc w:val="center"/>
              <w:rPr>
                <w:rFonts w:cs="Arial"/>
                <w:szCs w:val="22"/>
              </w:rPr>
            </w:pPr>
            <w:r>
              <w:rPr>
                <w:rFonts w:cs="Arial"/>
                <w:szCs w:val="22"/>
              </w:rPr>
              <w:t>Barney Craig, tailings dam and coal cleugh diffuse</w:t>
            </w:r>
          </w:p>
        </w:tc>
        <w:tc>
          <w:tcPr>
            <w:tcW w:w="1559" w:type="dxa"/>
          </w:tcPr>
          <w:p w14:paraId="329030A7" w14:textId="32354E66" w:rsidR="00F91FC2" w:rsidRDefault="00364384" w:rsidP="001C260D">
            <w:pPr>
              <w:jc w:val="center"/>
              <w:rPr>
                <w:rFonts w:cs="Arial"/>
                <w:szCs w:val="22"/>
              </w:rPr>
            </w:pPr>
            <w:r>
              <w:rPr>
                <w:rFonts w:cs="Arial"/>
                <w:szCs w:val="22"/>
              </w:rPr>
              <w:t>1/12</w:t>
            </w:r>
          </w:p>
        </w:tc>
        <w:tc>
          <w:tcPr>
            <w:tcW w:w="1276" w:type="dxa"/>
          </w:tcPr>
          <w:p w14:paraId="54C65637" w14:textId="5E747C56" w:rsidR="00F91FC2" w:rsidRDefault="00F63977" w:rsidP="001C260D">
            <w:pPr>
              <w:jc w:val="center"/>
              <w:rPr>
                <w:rFonts w:cs="Arial"/>
                <w:szCs w:val="22"/>
              </w:rPr>
            </w:pPr>
            <w:r>
              <w:rPr>
                <w:rFonts w:cs="Arial"/>
                <w:szCs w:val="22"/>
              </w:rPr>
              <w:t>7/12</w:t>
            </w:r>
          </w:p>
        </w:tc>
        <w:tc>
          <w:tcPr>
            <w:tcW w:w="1559" w:type="dxa"/>
          </w:tcPr>
          <w:p w14:paraId="57E6609C" w14:textId="130E876C" w:rsidR="00F91FC2" w:rsidRDefault="00364384" w:rsidP="001C260D">
            <w:pPr>
              <w:jc w:val="center"/>
              <w:rPr>
                <w:rFonts w:cs="Arial"/>
                <w:szCs w:val="22"/>
              </w:rPr>
            </w:pPr>
            <w:r>
              <w:rPr>
                <w:rFonts w:cs="Arial"/>
                <w:szCs w:val="22"/>
              </w:rPr>
              <w:t>0/12</w:t>
            </w:r>
          </w:p>
        </w:tc>
        <w:tc>
          <w:tcPr>
            <w:tcW w:w="1276" w:type="dxa"/>
          </w:tcPr>
          <w:p w14:paraId="5EBE1062" w14:textId="1A5CB1BD" w:rsidR="00F91FC2" w:rsidRDefault="009C464D" w:rsidP="001C260D">
            <w:pPr>
              <w:jc w:val="center"/>
              <w:rPr>
                <w:rFonts w:cs="Arial"/>
                <w:szCs w:val="22"/>
              </w:rPr>
            </w:pPr>
            <w:r>
              <w:rPr>
                <w:rFonts w:cs="Arial"/>
                <w:szCs w:val="22"/>
              </w:rPr>
              <w:t>5/12</w:t>
            </w:r>
          </w:p>
        </w:tc>
        <w:tc>
          <w:tcPr>
            <w:tcW w:w="1559" w:type="dxa"/>
          </w:tcPr>
          <w:p w14:paraId="215DFCFF" w14:textId="4E224BCE" w:rsidR="00F91FC2" w:rsidRDefault="00064EC9" w:rsidP="001C260D">
            <w:pPr>
              <w:jc w:val="center"/>
              <w:rPr>
                <w:rFonts w:cs="Arial"/>
                <w:szCs w:val="22"/>
              </w:rPr>
            </w:pPr>
            <w:r>
              <w:rPr>
                <w:rFonts w:cs="Arial"/>
                <w:szCs w:val="22"/>
              </w:rPr>
              <w:t>2/12</w:t>
            </w:r>
          </w:p>
        </w:tc>
        <w:tc>
          <w:tcPr>
            <w:tcW w:w="1134" w:type="dxa"/>
          </w:tcPr>
          <w:p w14:paraId="3C151857" w14:textId="1F90DFFE" w:rsidR="00F91FC2" w:rsidRDefault="003D31F7" w:rsidP="001C260D">
            <w:pPr>
              <w:jc w:val="center"/>
              <w:rPr>
                <w:rFonts w:cs="Arial"/>
                <w:szCs w:val="22"/>
              </w:rPr>
            </w:pPr>
            <w:r>
              <w:rPr>
                <w:rFonts w:cs="Arial"/>
                <w:szCs w:val="22"/>
              </w:rPr>
              <w:t>-</w:t>
            </w:r>
          </w:p>
        </w:tc>
      </w:tr>
      <w:tr w:rsidR="00F91FC2" w14:paraId="5668B473" w14:textId="77777777" w:rsidTr="00F91FC2">
        <w:tc>
          <w:tcPr>
            <w:tcW w:w="2802" w:type="dxa"/>
          </w:tcPr>
          <w:p w14:paraId="6FBC15E6" w14:textId="2B2C5C1A" w:rsidR="00F91FC2" w:rsidRDefault="00F91FC2" w:rsidP="001C260D">
            <w:pPr>
              <w:jc w:val="center"/>
              <w:rPr>
                <w:rFonts w:cs="Arial"/>
                <w:szCs w:val="22"/>
              </w:rPr>
            </w:pPr>
            <w:r>
              <w:rPr>
                <w:rFonts w:cs="Arial"/>
                <w:szCs w:val="22"/>
              </w:rPr>
              <w:t>Barney Craig, tailings dam, coal cleugh diffuse and coal cleugh adit</w:t>
            </w:r>
          </w:p>
        </w:tc>
        <w:tc>
          <w:tcPr>
            <w:tcW w:w="1559" w:type="dxa"/>
          </w:tcPr>
          <w:p w14:paraId="0D1904CA" w14:textId="420D5E25" w:rsidR="00F91FC2" w:rsidRDefault="00364384" w:rsidP="001C260D">
            <w:pPr>
              <w:jc w:val="center"/>
              <w:rPr>
                <w:rFonts w:cs="Arial"/>
                <w:szCs w:val="22"/>
              </w:rPr>
            </w:pPr>
            <w:r>
              <w:rPr>
                <w:rFonts w:cs="Arial"/>
                <w:szCs w:val="22"/>
              </w:rPr>
              <w:t>2/12</w:t>
            </w:r>
          </w:p>
        </w:tc>
        <w:tc>
          <w:tcPr>
            <w:tcW w:w="1276" w:type="dxa"/>
          </w:tcPr>
          <w:p w14:paraId="1DA10248" w14:textId="17E1F42E" w:rsidR="00F91FC2" w:rsidRDefault="00F63977" w:rsidP="001C260D">
            <w:pPr>
              <w:jc w:val="center"/>
              <w:rPr>
                <w:rFonts w:cs="Arial"/>
                <w:szCs w:val="22"/>
              </w:rPr>
            </w:pPr>
            <w:r>
              <w:rPr>
                <w:rFonts w:cs="Arial"/>
                <w:szCs w:val="22"/>
              </w:rPr>
              <w:t>7/12</w:t>
            </w:r>
          </w:p>
        </w:tc>
        <w:tc>
          <w:tcPr>
            <w:tcW w:w="1559" w:type="dxa"/>
          </w:tcPr>
          <w:p w14:paraId="44E14305" w14:textId="2F6DEDA3" w:rsidR="00F91FC2" w:rsidRDefault="00364384" w:rsidP="001C260D">
            <w:pPr>
              <w:jc w:val="center"/>
              <w:rPr>
                <w:rFonts w:cs="Arial"/>
                <w:szCs w:val="22"/>
              </w:rPr>
            </w:pPr>
            <w:r>
              <w:rPr>
                <w:rFonts w:cs="Arial"/>
                <w:szCs w:val="22"/>
              </w:rPr>
              <w:t>2/12</w:t>
            </w:r>
          </w:p>
        </w:tc>
        <w:tc>
          <w:tcPr>
            <w:tcW w:w="1276" w:type="dxa"/>
          </w:tcPr>
          <w:p w14:paraId="3153A0A5" w14:textId="24BE34C1" w:rsidR="00F91FC2" w:rsidRDefault="009C464D" w:rsidP="001C260D">
            <w:pPr>
              <w:jc w:val="center"/>
              <w:rPr>
                <w:rFonts w:cs="Arial"/>
                <w:szCs w:val="22"/>
              </w:rPr>
            </w:pPr>
            <w:r>
              <w:rPr>
                <w:rFonts w:cs="Arial"/>
                <w:szCs w:val="22"/>
              </w:rPr>
              <w:t>6/12</w:t>
            </w:r>
          </w:p>
        </w:tc>
        <w:tc>
          <w:tcPr>
            <w:tcW w:w="1559" w:type="dxa"/>
          </w:tcPr>
          <w:p w14:paraId="2892A0A3" w14:textId="7DB0C9D5" w:rsidR="00F91FC2" w:rsidRDefault="00F63977" w:rsidP="001C260D">
            <w:pPr>
              <w:jc w:val="center"/>
              <w:rPr>
                <w:rFonts w:cs="Arial"/>
                <w:szCs w:val="22"/>
              </w:rPr>
            </w:pPr>
            <w:r>
              <w:rPr>
                <w:rFonts w:cs="Arial"/>
                <w:szCs w:val="22"/>
              </w:rPr>
              <w:t>4/12*</w:t>
            </w:r>
          </w:p>
        </w:tc>
        <w:tc>
          <w:tcPr>
            <w:tcW w:w="1134" w:type="dxa"/>
          </w:tcPr>
          <w:p w14:paraId="10D4FFDE" w14:textId="28B9EE34" w:rsidR="00F91FC2" w:rsidRDefault="003D31F7" w:rsidP="00990481">
            <w:pPr>
              <w:keepNext/>
              <w:jc w:val="center"/>
              <w:rPr>
                <w:rFonts w:cs="Arial"/>
                <w:szCs w:val="22"/>
              </w:rPr>
            </w:pPr>
            <w:r>
              <w:rPr>
                <w:rFonts w:cs="Arial"/>
                <w:szCs w:val="22"/>
              </w:rPr>
              <w:t>-</w:t>
            </w:r>
          </w:p>
        </w:tc>
      </w:tr>
    </w:tbl>
    <w:p w14:paraId="152B21C5" w14:textId="0470E652" w:rsidR="00060F78" w:rsidRDefault="00990481" w:rsidP="00990481">
      <w:pPr>
        <w:pStyle w:val="Caption"/>
        <w:rPr>
          <w:rFonts w:cs="Arial"/>
          <w:szCs w:val="22"/>
        </w:rPr>
      </w:pPr>
      <w:r>
        <w:t xml:space="preserve">Table </w:t>
      </w:r>
      <w:r w:rsidR="00E616B5">
        <w:fldChar w:fldCharType="begin"/>
      </w:r>
      <w:r w:rsidR="00E616B5">
        <w:instrText xml:space="preserve"> SEQ Table \* ARABIC </w:instrText>
      </w:r>
      <w:r w:rsidR="00E616B5">
        <w:fldChar w:fldCharType="separate"/>
      </w:r>
      <w:r>
        <w:rPr>
          <w:noProof/>
        </w:rPr>
        <w:t>11</w:t>
      </w:r>
      <w:r w:rsidR="00E616B5">
        <w:rPr>
          <w:noProof/>
        </w:rPr>
        <w:fldChar w:fldCharType="end"/>
      </w:r>
      <w:r>
        <w:t xml:space="preserve"> - Treatment scenarios</w:t>
      </w:r>
    </w:p>
    <w:p w14:paraId="12CD881D" w14:textId="68BD4631" w:rsidR="00060F78" w:rsidRDefault="00F63977" w:rsidP="009A1163">
      <w:pPr>
        <w:rPr>
          <w:rFonts w:cs="Arial"/>
          <w:szCs w:val="22"/>
        </w:rPr>
      </w:pPr>
      <w:r>
        <w:rPr>
          <w:rFonts w:cs="Arial"/>
          <w:szCs w:val="22"/>
        </w:rPr>
        <w:t>*</w:t>
      </w:r>
      <w:r w:rsidR="003D31F7">
        <w:rPr>
          <w:rFonts w:cs="Arial"/>
          <w:szCs w:val="22"/>
        </w:rPr>
        <w:t>Annual average EQS compliance achieved</w:t>
      </w:r>
    </w:p>
    <w:p w14:paraId="74971D2D" w14:textId="77777777" w:rsidR="00060F78" w:rsidRPr="005141D4" w:rsidRDefault="00060F78" w:rsidP="009A1163">
      <w:pPr>
        <w:rPr>
          <w:rFonts w:cs="Arial"/>
          <w:szCs w:val="22"/>
        </w:rPr>
      </w:pPr>
    </w:p>
    <w:p w14:paraId="2E7CDCC2" w14:textId="77777777" w:rsidR="00EB58A5" w:rsidRDefault="00EB58A5" w:rsidP="00EB58A5">
      <w:pPr>
        <w:rPr>
          <w:szCs w:val="22"/>
        </w:rPr>
      </w:pPr>
      <w:r>
        <w:rPr>
          <w:szCs w:val="22"/>
        </w:rPr>
        <w:t>The output from the source apportionment tool suggest that treatment of Barney Craig adit alone would not be sufficient to achieve annual average compliance at WA1 despite 7 of 12 months achieving the bioavailable EQS standard and the annual average zinc concentration being reduced by 77% achieving. Further interventions to reduce metal inputs from the tailings dam, coal cleugh and coal cleugh adit would reduce the annual average concentration by 80%, a concentration only twice the EQS compared with 10 times EQS before any treatment was carried out.</w:t>
      </w:r>
    </w:p>
    <w:p w14:paraId="003FE690" w14:textId="77777777" w:rsidR="00EB58A5" w:rsidRDefault="00EB58A5" w:rsidP="00261ED1">
      <w:pPr>
        <w:rPr>
          <w:szCs w:val="28"/>
        </w:rPr>
      </w:pPr>
    </w:p>
    <w:p w14:paraId="00D8899B" w14:textId="6853211E" w:rsidR="0006792A" w:rsidRDefault="0006792A" w:rsidP="00261ED1">
      <w:pPr>
        <w:rPr>
          <w:szCs w:val="28"/>
        </w:rPr>
      </w:pPr>
      <w:r>
        <w:rPr>
          <w:szCs w:val="28"/>
        </w:rPr>
        <w:t>To give some idea of the magnitude of work required t</w:t>
      </w:r>
      <w:r w:rsidRPr="0006792A">
        <w:rPr>
          <w:szCs w:val="28"/>
        </w:rPr>
        <w:t xml:space="preserve">o achieve </w:t>
      </w:r>
      <w:r w:rsidR="00A83EC3">
        <w:rPr>
          <w:szCs w:val="28"/>
        </w:rPr>
        <w:t>a</w:t>
      </w:r>
      <w:r>
        <w:rPr>
          <w:szCs w:val="28"/>
        </w:rPr>
        <w:t xml:space="preserve">nnual average compliance for </w:t>
      </w:r>
      <w:r w:rsidR="00A83EC3">
        <w:rPr>
          <w:szCs w:val="28"/>
        </w:rPr>
        <w:t>z</w:t>
      </w:r>
      <w:r>
        <w:rPr>
          <w:szCs w:val="28"/>
        </w:rPr>
        <w:t>inc at Hindley Wrae ford the model suggests we would need to remove 100% of zinc from every source upstream of WA2 (this alone would still only achieve 7/12 months com</w:t>
      </w:r>
      <w:r w:rsidR="00C85899">
        <w:rPr>
          <w:szCs w:val="28"/>
        </w:rPr>
        <w:t>p</w:t>
      </w:r>
      <w:r>
        <w:rPr>
          <w:szCs w:val="28"/>
        </w:rPr>
        <w:t xml:space="preserve">liant) and then remove 40% of Zinc from between WA2 and WA1 to achieve an RCR of 0.99 annual average and 5/12 months with the highest flows still do not meet EQS. </w:t>
      </w:r>
    </w:p>
    <w:p w14:paraId="442959F7" w14:textId="611B5627" w:rsidR="003B71B7" w:rsidRPr="0006792A" w:rsidRDefault="0006792A" w:rsidP="00261ED1">
      <w:pPr>
        <w:rPr>
          <w:szCs w:val="28"/>
        </w:rPr>
      </w:pPr>
      <w:r>
        <w:rPr>
          <w:szCs w:val="28"/>
        </w:rPr>
        <w:t xml:space="preserve">Alternatively, if you keep the assumed reductions used above, we would need to remove 71% of zinc between WA2 and WA1 to achieve the same result. </w:t>
      </w:r>
      <w:r w:rsidR="00A83EC3">
        <w:rPr>
          <w:szCs w:val="28"/>
        </w:rPr>
        <w:t xml:space="preserve">The results of this prediction </w:t>
      </w:r>
      <w:r w:rsidR="00695ACE">
        <w:rPr>
          <w:szCs w:val="28"/>
        </w:rPr>
        <w:t>have been included in Appendix 3</w:t>
      </w:r>
      <w:r w:rsidR="00A83EC3">
        <w:rPr>
          <w:szCs w:val="28"/>
        </w:rPr>
        <w:t>.</w:t>
      </w:r>
    </w:p>
    <w:p w14:paraId="016D3CC4" w14:textId="77777777" w:rsidR="00BC3482" w:rsidRDefault="00BC3482" w:rsidP="00261ED1">
      <w:pPr>
        <w:rPr>
          <w:b/>
          <w:sz w:val="28"/>
          <w:szCs w:val="28"/>
        </w:rPr>
      </w:pPr>
    </w:p>
    <w:p w14:paraId="4DA1E3EE" w14:textId="189AE638" w:rsidR="003D31F7" w:rsidRPr="003D31F7" w:rsidRDefault="003D31F7" w:rsidP="00261ED1">
      <w:pPr>
        <w:rPr>
          <w:szCs w:val="28"/>
        </w:rPr>
      </w:pPr>
      <w:r>
        <w:rPr>
          <w:szCs w:val="28"/>
        </w:rPr>
        <w:t>Lead achieved compliance without any interventions, therefore no further prediction models were completed, the planned interventions will improve this situation and eventually, with all interventions complete the watercourse will be compliant for lead at WA2 downstream of the mine site.</w:t>
      </w:r>
    </w:p>
    <w:p w14:paraId="7FF3F8EF" w14:textId="77777777" w:rsidR="003D31F7" w:rsidRDefault="003D31F7" w:rsidP="00261ED1">
      <w:pPr>
        <w:rPr>
          <w:b/>
          <w:sz w:val="28"/>
          <w:szCs w:val="28"/>
        </w:rPr>
      </w:pPr>
    </w:p>
    <w:p w14:paraId="56C0CB1F" w14:textId="77777777" w:rsidR="003B71B7" w:rsidRDefault="003B71B7" w:rsidP="00261ED1">
      <w:pPr>
        <w:rPr>
          <w:b/>
          <w:sz w:val="28"/>
          <w:szCs w:val="28"/>
        </w:rPr>
      </w:pPr>
      <w:r>
        <w:rPr>
          <w:b/>
          <w:sz w:val="28"/>
          <w:szCs w:val="28"/>
        </w:rPr>
        <w:t>Constraints</w:t>
      </w:r>
    </w:p>
    <w:p w14:paraId="6CCCCBE7" w14:textId="459D82FA" w:rsidR="00BB297F" w:rsidRDefault="00BB297F" w:rsidP="003231D2">
      <w:r>
        <w:t>There was n</w:t>
      </w:r>
      <w:r w:rsidR="00DE56B5">
        <w:t>o monitoring of coal cleugh</w:t>
      </w:r>
      <w:r w:rsidR="003D31F7">
        <w:t xml:space="preserve"> adit</w:t>
      </w:r>
      <w:r>
        <w:t xml:space="preserve"> as part of this characterisation, a new characterisation has been started in 2016 and new sample points have been included upstream of </w:t>
      </w:r>
      <w:r w:rsidR="00695ACE">
        <w:t>C</w:t>
      </w:r>
      <w:r>
        <w:t>oal</w:t>
      </w:r>
      <w:r w:rsidR="00695ACE">
        <w:t xml:space="preserve"> </w:t>
      </w:r>
      <w:r>
        <w:t>cleugh adit and from the adit itself.</w:t>
      </w:r>
    </w:p>
    <w:p w14:paraId="62C9E845" w14:textId="64A75EEB" w:rsidR="00FC5C57" w:rsidRDefault="00C85899" w:rsidP="003231D2">
      <w:r>
        <w:t xml:space="preserve">The </w:t>
      </w:r>
      <w:r w:rsidR="00FC5C57">
        <w:t>Q values</w:t>
      </w:r>
      <w:r>
        <w:t xml:space="preserve"> used for this study were taken</w:t>
      </w:r>
      <w:r w:rsidR="00695ACE">
        <w:t xml:space="preserve"> from Hindley W</w:t>
      </w:r>
      <w:r w:rsidR="00FC5C57">
        <w:t>rae</w:t>
      </w:r>
      <w:r>
        <w:t xml:space="preserve"> which is 12km downstream of the mine site and therefore</w:t>
      </w:r>
      <w:r w:rsidR="00FC5C57">
        <w:t xml:space="preserve"> may not represent t</w:t>
      </w:r>
      <w:r>
        <w:t>rue Q values in upper catchment where there can be localised rainfall.</w:t>
      </w:r>
    </w:p>
    <w:p w14:paraId="55CF3270" w14:textId="77777777" w:rsidR="005B6E11" w:rsidRDefault="005B6E11" w:rsidP="003231D2"/>
    <w:p w14:paraId="1708ED15" w14:textId="32C711D2" w:rsidR="00C85899" w:rsidRDefault="00C85899" w:rsidP="003231D2">
      <w:r>
        <w:t>The flow gauging method used was a velocity area method for the majority of the sites, in very low flows it is possible that a greater proportion of the flow will travel through the hyporheic zone and therefore is not picked up by the equipment leading to flows being under estimated. This has been reduced where possible by site selection and creation of as smooth a channel as possible.</w:t>
      </w:r>
    </w:p>
    <w:p w14:paraId="1B0922B2" w14:textId="77777777" w:rsidR="005B6E11" w:rsidRDefault="005B6E11" w:rsidP="003231D2"/>
    <w:p w14:paraId="4884D364" w14:textId="5924B5AD" w:rsidR="005B6E11" w:rsidRDefault="005B6E11" w:rsidP="003231D2">
      <w:r>
        <w:t xml:space="preserve">All sample points were centred </w:t>
      </w:r>
      <w:r w:rsidR="00695ACE">
        <w:t>on</w:t>
      </w:r>
      <w:r>
        <w:t xml:space="preserve"> the mine site at Carrshields, owing to the limitation of collecting all samples within one day further samples down stream of this point were not possible but would have been useful to identify areas where diffuse loads increased in higher flows.</w:t>
      </w:r>
    </w:p>
    <w:p w14:paraId="73B1EF7D" w14:textId="77777777" w:rsidR="003B71B7" w:rsidRDefault="003B71B7" w:rsidP="00261ED1">
      <w:pPr>
        <w:rPr>
          <w:b/>
          <w:sz w:val="28"/>
          <w:szCs w:val="28"/>
        </w:rPr>
      </w:pPr>
    </w:p>
    <w:p w14:paraId="0C3D8C4B" w14:textId="77777777" w:rsidR="003B71B7" w:rsidRDefault="003B71B7" w:rsidP="00261ED1">
      <w:pPr>
        <w:rPr>
          <w:b/>
          <w:sz w:val="28"/>
          <w:szCs w:val="28"/>
        </w:rPr>
      </w:pPr>
    </w:p>
    <w:p w14:paraId="303BD2B8" w14:textId="77777777" w:rsidR="003B71B7" w:rsidRDefault="00615674" w:rsidP="00261ED1">
      <w:pPr>
        <w:rPr>
          <w:b/>
          <w:sz w:val="28"/>
          <w:szCs w:val="28"/>
        </w:rPr>
      </w:pPr>
      <w:r>
        <w:rPr>
          <w:b/>
          <w:sz w:val="28"/>
          <w:szCs w:val="28"/>
        </w:rPr>
        <w:t>Summary and conclusions</w:t>
      </w:r>
    </w:p>
    <w:p w14:paraId="08CECB68" w14:textId="1A022B46" w:rsidR="005B6E11" w:rsidRDefault="005B6E11" w:rsidP="00300F20">
      <w:pPr>
        <w:rPr>
          <w:szCs w:val="22"/>
        </w:rPr>
      </w:pPr>
      <w:r>
        <w:rPr>
          <w:szCs w:val="22"/>
        </w:rPr>
        <w:t xml:space="preserve">This characterisation study has allowed a greater understanding of the metal fluctuations within the West Allen catchment, the catchment is dominated by the discharge from Barney Craig mine in low flows but in high flows diffuse inputs, particularly remobilisation of sediment in the lower catchment become the dominant contributor of metals. </w:t>
      </w:r>
    </w:p>
    <w:p w14:paraId="005E0AA9" w14:textId="77777777" w:rsidR="005B6E11" w:rsidRDefault="005B6E11" w:rsidP="00300F20">
      <w:pPr>
        <w:rPr>
          <w:szCs w:val="22"/>
        </w:rPr>
      </w:pPr>
    </w:p>
    <w:p w14:paraId="286A7505" w14:textId="6B2C9B81" w:rsidR="00F865E5" w:rsidRDefault="00F865E5" w:rsidP="00300F20">
      <w:pPr>
        <w:rPr>
          <w:szCs w:val="22"/>
        </w:rPr>
      </w:pPr>
      <w:r>
        <w:rPr>
          <w:szCs w:val="22"/>
        </w:rPr>
        <w:t xml:space="preserve">There is limited understanding of the metal input upstream of WA6, there is a high degree of confidence that the measurements at WA7 are largely attributable to a discharge from coal cleugh adit but this cannot be clearly defined from the sample points in this characterisation.  We </w:t>
      </w:r>
      <w:r w:rsidR="005216A7">
        <w:rPr>
          <w:szCs w:val="22"/>
        </w:rPr>
        <w:t xml:space="preserve">know </w:t>
      </w:r>
      <w:r>
        <w:rPr>
          <w:szCs w:val="22"/>
        </w:rPr>
        <w:t xml:space="preserve">there is a large input of </w:t>
      </w:r>
      <w:r w:rsidR="003E2961">
        <w:rPr>
          <w:szCs w:val="22"/>
        </w:rPr>
        <w:t>zinc between WA7 and WA6 in high flows but in low flows there is a</w:t>
      </w:r>
      <w:r w:rsidR="005216A7">
        <w:rPr>
          <w:szCs w:val="22"/>
        </w:rPr>
        <w:t xml:space="preserve"> reduction in the metal load between the two points.  This lends weight to the discharge from coal cleugh contributing significantly to loads at WA7 rather than diffuse sources upstream of the adit.  It is not possible to further define the source of zinc between WA7 and WA6 in high flows as further sampling would be required which has since been carried out by the Environment Agency in a separate report.</w:t>
      </w:r>
    </w:p>
    <w:p w14:paraId="4448F9ED" w14:textId="77777777" w:rsidR="00F865E5" w:rsidRDefault="00F865E5" w:rsidP="00300F20">
      <w:pPr>
        <w:rPr>
          <w:szCs w:val="22"/>
        </w:rPr>
      </w:pPr>
    </w:p>
    <w:p w14:paraId="7E23BC12" w14:textId="5A12224B" w:rsidR="002C55B4" w:rsidRDefault="005A7D9C" w:rsidP="00300F20">
      <w:pPr>
        <w:rPr>
          <w:szCs w:val="22"/>
        </w:rPr>
      </w:pPr>
      <w:r>
        <w:rPr>
          <w:szCs w:val="22"/>
        </w:rPr>
        <w:t xml:space="preserve">The conceptual understanding around the Barney Craig </w:t>
      </w:r>
      <w:r w:rsidR="00906235">
        <w:rPr>
          <w:szCs w:val="22"/>
        </w:rPr>
        <w:t>mine</w:t>
      </w:r>
      <w:r w:rsidR="002C55B4">
        <w:rPr>
          <w:szCs w:val="22"/>
        </w:rPr>
        <w:t xml:space="preserve"> site is very good as this forms</w:t>
      </w:r>
      <w:r w:rsidR="00906235">
        <w:rPr>
          <w:szCs w:val="22"/>
        </w:rPr>
        <w:t xml:space="preserve"> the nucleus of the characterisation.  With close to 100% of metals being accounted for between WA6 and WA2 in flows up to around Q55</w:t>
      </w:r>
      <w:r w:rsidR="002C55B4">
        <w:rPr>
          <w:szCs w:val="22"/>
        </w:rPr>
        <w:t>.</w:t>
      </w:r>
      <w:r w:rsidR="00906235">
        <w:rPr>
          <w:szCs w:val="22"/>
        </w:rPr>
        <w:t xml:space="preserve">  </w:t>
      </w:r>
      <w:r w:rsidR="002C55B4">
        <w:rPr>
          <w:szCs w:val="22"/>
        </w:rPr>
        <w:t>I</w:t>
      </w:r>
      <w:r w:rsidR="00906235">
        <w:rPr>
          <w:szCs w:val="22"/>
        </w:rPr>
        <w:t>n flows higher than this there is a larger diffuse input</w:t>
      </w:r>
      <w:r w:rsidR="00F865E5">
        <w:rPr>
          <w:szCs w:val="22"/>
        </w:rPr>
        <w:t xml:space="preserve"> which cannot be clearly defined but contribute upto 40%</w:t>
      </w:r>
      <w:r w:rsidR="002C55B4">
        <w:rPr>
          <w:szCs w:val="22"/>
        </w:rPr>
        <w:t xml:space="preserve"> of zinc to WA2 as calculated in table </w:t>
      </w:r>
      <w:r w:rsidR="00695ACE">
        <w:rPr>
          <w:szCs w:val="22"/>
        </w:rPr>
        <w:t>7</w:t>
      </w:r>
      <w:r w:rsidR="002C55B4">
        <w:rPr>
          <w:szCs w:val="22"/>
        </w:rPr>
        <w:t xml:space="preserve">. During these high flow events the contribution of Barney </w:t>
      </w:r>
      <w:r w:rsidR="00695ACE">
        <w:rPr>
          <w:szCs w:val="22"/>
        </w:rPr>
        <w:t>Craig</w:t>
      </w:r>
      <w:r w:rsidR="002C55B4">
        <w:rPr>
          <w:szCs w:val="22"/>
        </w:rPr>
        <w:t xml:space="preserve"> falls as low as 32% despite discharging ~9kg of zinc per day. The remainder of the load arriving at WA2 is split between upstream of WA6 and WAX, this unmeasured diffuse contribution through the mine site tends to contribute slightly more to WA2 but both are around the 30% figure in high flows. Significant reductions in metal are required in all three of these locations</w:t>
      </w:r>
      <w:r w:rsidR="002F37CF">
        <w:rPr>
          <w:szCs w:val="22"/>
        </w:rPr>
        <w:t xml:space="preserve">, Barney </w:t>
      </w:r>
      <w:r w:rsidR="00695ACE">
        <w:rPr>
          <w:szCs w:val="22"/>
        </w:rPr>
        <w:t>Craig</w:t>
      </w:r>
      <w:r w:rsidR="002F37CF">
        <w:rPr>
          <w:szCs w:val="22"/>
        </w:rPr>
        <w:t xml:space="preserve"> adit, diffuse from the mine site and upstream of WA6,</w:t>
      </w:r>
      <w:r w:rsidR="002C55B4">
        <w:rPr>
          <w:szCs w:val="22"/>
        </w:rPr>
        <w:t xml:space="preserve"> to achieve</w:t>
      </w:r>
      <w:r w:rsidR="002F37CF">
        <w:rPr>
          <w:szCs w:val="22"/>
        </w:rPr>
        <w:t xml:space="preserve"> compliance with EQS in high flows.</w:t>
      </w:r>
    </w:p>
    <w:p w14:paraId="70F8F53D" w14:textId="77777777" w:rsidR="002C55B4" w:rsidRDefault="002C55B4" w:rsidP="00300F20">
      <w:pPr>
        <w:rPr>
          <w:szCs w:val="22"/>
        </w:rPr>
      </w:pPr>
    </w:p>
    <w:p w14:paraId="26553881" w14:textId="3DEBDEAC" w:rsidR="002F37CF" w:rsidRDefault="002C55B4" w:rsidP="00300F20">
      <w:pPr>
        <w:rPr>
          <w:szCs w:val="22"/>
        </w:rPr>
      </w:pPr>
      <w:r>
        <w:rPr>
          <w:szCs w:val="22"/>
        </w:rPr>
        <w:t>In low flows the</w:t>
      </w:r>
      <w:r w:rsidR="002F37CF">
        <w:rPr>
          <w:szCs w:val="22"/>
        </w:rPr>
        <w:t xml:space="preserve">re is a far simpler picture in terms of metal contributions to WA2 with Barney </w:t>
      </w:r>
      <w:r w:rsidR="00695ACE">
        <w:rPr>
          <w:szCs w:val="22"/>
        </w:rPr>
        <w:t>Craig</w:t>
      </w:r>
      <w:r w:rsidR="002F37CF">
        <w:rPr>
          <w:szCs w:val="22"/>
        </w:rPr>
        <w:t xml:space="preserve"> being the dominant input at 109% with only 2% of zinc arriving from upstream of WA6. Indeed removing the Barney </w:t>
      </w:r>
      <w:r w:rsidR="00695ACE">
        <w:rPr>
          <w:szCs w:val="22"/>
        </w:rPr>
        <w:t>Craig</w:t>
      </w:r>
      <w:r w:rsidR="002F37CF">
        <w:rPr>
          <w:szCs w:val="22"/>
        </w:rPr>
        <w:t xml:space="preserve"> discharge achieves compliance with EQS at WA2 in the very lowest flow.</w:t>
      </w:r>
    </w:p>
    <w:p w14:paraId="0A04768F" w14:textId="77777777" w:rsidR="002F37CF" w:rsidRDefault="002F37CF" w:rsidP="00300F20">
      <w:pPr>
        <w:rPr>
          <w:szCs w:val="22"/>
        </w:rPr>
      </w:pPr>
    </w:p>
    <w:p w14:paraId="02189FA4" w14:textId="1E723E36" w:rsidR="005A7D9C" w:rsidRDefault="002F37CF" w:rsidP="00300F20">
      <w:pPr>
        <w:rPr>
          <w:szCs w:val="22"/>
        </w:rPr>
      </w:pPr>
      <w:r>
        <w:rPr>
          <w:szCs w:val="22"/>
        </w:rPr>
        <w:t>The majority of zinc that is input to the West Allen upstream of WA6 is deposited in lower flows as described above, meaning that interventions upstream of the mine site would have an impact as there would be less zinc available to remobilise in high flows which will partly contribute to the ~30% input in high flows.</w:t>
      </w:r>
    </w:p>
    <w:p w14:paraId="05B1002B" w14:textId="77777777" w:rsidR="005A7D9C" w:rsidRDefault="005A7D9C" w:rsidP="00300F20">
      <w:pPr>
        <w:rPr>
          <w:szCs w:val="22"/>
        </w:rPr>
      </w:pPr>
    </w:p>
    <w:p w14:paraId="72601DD4" w14:textId="3E3B18A8" w:rsidR="005A7D9C" w:rsidRDefault="00CC5B2B" w:rsidP="00300F20">
      <w:pPr>
        <w:rPr>
          <w:szCs w:val="22"/>
        </w:rPr>
      </w:pPr>
      <w:r>
        <w:rPr>
          <w:szCs w:val="22"/>
        </w:rPr>
        <w:t xml:space="preserve">At WA1 there is a distinct difference between the loadings at high and low flows, in low flows there is as much as 10kg/day reduction in Zinc load between WA2 and WA1. This zinc is deposited in sediment throughout the lower catchment as it </w:t>
      </w:r>
      <w:r w:rsidR="003E0864">
        <w:rPr>
          <w:szCs w:val="22"/>
        </w:rPr>
        <w:t xml:space="preserve">can be attenuated within sediment which deposits on the river bed. Conversely in high flows, there is an increase in zinc between WA2 and WA1 of around 20kg/day, this increase in load could be attributable to a number of sources namely, runoff from spoil heaps, input from groundwater or remobilisation of sediment. </w:t>
      </w:r>
    </w:p>
    <w:p w14:paraId="4C60F245" w14:textId="77777777" w:rsidR="003E0864" w:rsidRDefault="003E0864" w:rsidP="00300F20">
      <w:pPr>
        <w:rPr>
          <w:szCs w:val="22"/>
        </w:rPr>
      </w:pPr>
    </w:p>
    <w:p w14:paraId="7C2DCBD4" w14:textId="46D90F87" w:rsidR="003E0864" w:rsidRDefault="003E0864" w:rsidP="00300F20">
      <w:pPr>
        <w:rPr>
          <w:szCs w:val="22"/>
        </w:rPr>
      </w:pPr>
      <w:r>
        <w:rPr>
          <w:szCs w:val="22"/>
        </w:rPr>
        <w:t>In 2008 a study was carried out by Gozzard which found that</w:t>
      </w:r>
      <w:r w:rsidRPr="003E0864">
        <w:rPr>
          <w:szCs w:val="22"/>
        </w:rPr>
        <w:t xml:space="preserve"> </w:t>
      </w:r>
      <w:r>
        <w:rPr>
          <w:szCs w:val="22"/>
        </w:rPr>
        <w:t>re-suspension and remobilisation of sediment</w:t>
      </w:r>
      <w:r w:rsidRPr="003E0864">
        <w:rPr>
          <w:szCs w:val="22"/>
        </w:rPr>
        <w:t xml:space="preserve"> </w:t>
      </w:r>
      <w:r>
        <w:rPr>
          <w:szCs w:val="22"/>
        </w:rPr>
        <w:t>is an important factor in the increase of zinc loading in the West Allen.</w:t>
      </w:r>
      <w:r w:rsidRPr="003E0864">
        <w:rPr>
          <w:szCs w:val="22"/>
        </w:rPr>
        <w:t xml:space="preserve"> </w:t>
      </w:r>
      <w:r>
        <w:rPr>
          <w:szCs w:val="22"/>
        </w:rPr>
        <w:t>It was found as part of the same study that zinc laden sediment was washed downstream during the wetter winter months and was replaced by relatively ‘clean’ sediment from the upper catchment which was then exposed to zinc rich waters from the point sources which raised the zinc content during low flows before the cycle was repeated in higher flows through winter period.</w:t>
      </w:r>
    </w:p>
    <w:p w14:paraId="10358929" w14:textId="77777777" w:rsidR="003E0864" w:rsidRDefault="003E0864" w:rsidP="00300F20">
      <w:pPr>
        <w:rPr>
          <w:szCs w:val="22"/>
        </w:rPr>
      </w:pPr>
    </w:p>
    <w:p w14:paraId="04201F8C" w14:textId="784DDDE7" w:rsidR="005A7D9C" w:rsidRDefault="00EB58A5" w:rsidP="00300F20">
      <w:pPr>
        <w:rPr>
          <w:szCs w:val="22"/>
        </w:rPr>
      </w:pPr>
      <w:r>
        <w:rPr>
          <w:szCs w:val="22"/>
        </w:rPr>
        <w:t xml:space="preserve">The findings from the source apportionment tool suggest that annual average EQS will not be achieved for any Zinc of Cadmium at WA1 despite a full range of interventions being carried out. This is in large part because of the diffuse input between WA2 and WA1. However, with all of the planned interventions carried out it is predicted that EQS for lead will be achieved as an annual average at </w:t>
      </w:r>
      <w:r w:rsidR="00B00399">
        <w:rPr>
          <w:szCs w:val="22"/>
        </w:rPr>
        <w:t xml:space="preserve">WA2 downstream of the mine site even though only 4 of 12 samples achieve compliance. </w:t>
      </w:r>
    </w:p>
    <w:p w14:paraId="0BBDFC7C" w14:textId="77777777" w:rsidR="005A7D9C" w:rsidRDefault="005A7D9C" w:rsidP="00300F20">
      <w:pPr>
        <w:rPr>
          <w:szCs w:val="22"/>
        </w:rPr>
      </w:pPr>
    </w:p>
    <w:p w14:paraId="32E9C96D" w14:textId="18DB9A1A" w:rsidR="00300F20" w:rsidRDefault="00034E68" w:rsidP="00300F20">
      <w:pPr>
        <w:rPr>
          <w:szCs w:val="22"/>
        </w:rPr>
      </w:pPr>
      <w:r>
        <w:rPr>
          <w:szCs w:val="22"/>
        </w:rPr>
        <w:t xml:space="preserve">This findings of Gozzard, 2008 suggests that there could be an increasingly positive impact if metals are removed from point sources as it would break the cycle of zinc replacement in the sediment. There are still likely to be additional sources of zinc, Wellhope burn for example, however treatment of Barney </w:t>
      </w:r>
      <w:r w:rsidR="00695ACE">
        <w:rPr>
          <w:szCs w:val="22"/>
        </w:rPr>
        <w:t>Craig</w:t>
      </w:r>
      <w:r>
        <w:rPr>
          <w:szCs w:val="22"/>
        </w:rPr>
        <w:t xml:space="preserve"> and interventions to reduce the diffuse inputs upstream of WA2 would significantly improve the water quality.  Low flows would immediately be affected, especially at WA with 7/12 months immediately achieving compliance, given time for polluted sediment to be washed downstream it is possible that higher flow events will become closer to achieving compliance.</w:t>
      </w:r>
    </w:p>
    <w:p w14:paraId="353C8041" w14:textId="77777777" w:rsidR="009A1163" w:rsidRPr="00B00399" w:rsidRDefault="009A1163" w:rsidP="00300F20">
      <w:pPr>
        <w:rPr>
          <w:sz w:val="20"/>
          <w:szCs w:val="22"/>
        </w:rPr>
      </w:pPr>
    </w:p>
    <w:p w14:paraId="7EE9A08B" w14:textId="718F1549" w:rsidR="005A7D9C" w:rsidRPr="00B00399" w:rsidRDefault="00B00399" w:rsidP="00261ED1">
      <w:pPr>
        <w:rPr>
          <w:szCs w:val="28"/>
        </w:rPr>
      </w:pPr>
      <w:r w:rsidRPr="00B00399">
        <w:rPr>
          <w:szCs w:val="28"/>
        </w:rPr>
        <w:t xml:space="preserve">In conclusion, </w:t>
      </w:r>
      <w:r>
        <w:rPr>
          <w:szCs w:val="28"/>
        </w:rPr>
        <w:t xml:space="preserve">the discharge from the Barney </w:t>
      </w:r>
      <w:r w:rsidR="00695ACE">
        <w:rPr>
          <w:szCs w:val="28"/>
        </w:rPr>
        <w:t>Craig</w:t>
      </w:r>
      <w:r>
        <w:rPr>
          <w:szCs w:val="28"/>
        </w:rPr>
        <w:t xml:space="preserve"> adit is the most significant input that needs to be removed as it will not only have immediate impact on water quality but improvement will be continued as less sediment becomes available for remobilisation.  This improvement will be accelerated by reductions in metals from diffuse sources as they contribute equally significant amounts of metal in higher flows. Further scoping and feasibility should focus on the Barney Craig adit with the associated dressing floor and tailings dam also worth</w:t>
      </w:r>
      <w:r w:rsidR="008C58C9">
        <w:rPr>
          <w:szCs w:val="28"/>
        </w:rPr>
        <w:t>y</w:t>
      </w:r>
      <w:r>
        <w:rPr>
          <w:szCs w:val="28"/>
        </w:rPr>
        <w:t xml:space="preserve"> of further consideration for treatment options</w:t>
      </w:r>
      <w:r w:rsidR="008C58C9">
        <w:rPr>
          <w:szCs w:val="28"/>
        </w:rPr>
        <w:t>.</w:t>
      </w:r>
      <w:r>
        <w:rPr>
          <w:szCs w:val="28"/>
        </w:rPr>
        <w:t xml:space="preserve"> </w:t>
      </w:r>
      <w:r w:rsidR="008C58C9">
        <w:rPr>
          <w:szCs w:val="28"/>
        </w:rPr>
        <w:t>F</w:t>
      </w:r>
      <w:r>
        <w:rPr>
          <w:szCs w:val="28"/>
        </w:rPr>
        <w:t>inally the point source discharge at Coal cleugh and diffuse inputs upstream of WA6 would benefit from additional characterisation and eventual interventions to reduce metals.</w:t>
      </w:r>
    </w:p>
    <w:p w14:paraId="7862D1D4" w14:textId="77777777" w:rsidR="005A7D9C" w:rsidRDefault="005A7D9C" w:rsidP="00261ED1">
      <w:pPr>
        <w:rPr>
          <w:b/>
          <w:sz w:val="28"/>
          <w:szCs w:val="28"/>
        </w:rPr>
      </w:pPr>
    </w:p>
    <w:p w14:paraId="2BF4F662" w14:textId="77777777" w:rsidR="00615674" w:rsidRDefault="00615674" w:rsidP="00615674"/>
    <w:sectPr w:rsidR="00615674" w:rsidSect="009C6DB4">
      <w:pgSz w:w="11906" w:h="16838" w:code="9"/>
      <w:pgMar w:top="720" w:right="720" w:bottom="720" w:left="720" w:header="567" w:footer="720" w:gutter="0"/>
      <w:cols w:space="720"/>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 w:author="Hugh Potter" w:date="2013-12-23T10:10:00Z" w:initials="HP">
    <w:p w14:paraId="7CFC46A1" w14:textId="77777777" w:rsidR="00695ACE" w:rsidRDefault="00695ACE">
      <w:pPr>
        <w:pStyle w:val="CommentText"/>
      </w:pPr>
      <w:r>
        <w:rPr>
          <w:rStyle w:val="CommentReference"/>
        </w:rPr>
        <w:annotationRef/>
      </w:r>
      <w:r>
        <w:t>Please use most recent classification available and state year.</w:t>
      </w:r>
    </w:p>
  </w:comment>
  <w:comment w:id="3" w:author="Hugh Potter" w:date="2013-12-23T10:23:00Z" w:initials="HP">
    <w:p w14:paraId="752E926F" w14:textId="77777777" w:rsidR="00695ACE" w:rsidRDefault="00695ACE">
      <w:pPr>
        <w:pStyle w:val="CommentText"/>
      </w:pPr>
      <w:r>
        <w:rPr>
          <w:rStyle w:val="CommentReference"/>
        </w:rPr>
        <w:annotationRef/>
      </w:r>
      <w:r>
        <w:t>Free text box for brief summary of catchment and impacts from abandoned mines.</w:t>
      </w:r>
    </w:p>
  </w:comment>
  <w:comment w:id="4" w:author="Hugh Potter" w:date="2013-05-01T08:34:00Z" w:initials="HP">
    <w:p w14:paraId="16B4A796" w14:textId="77777777" w:rsidR="00695ACE" w:rsidRDefault="00695ACE">
      <w:pPr>
        <w:pStyle w:val="CommentText"/>
      </w:pPr>
      <w:r>
        <w:rPr>
          <w:rStyle w:val="CommentReference"/>
        </w:rPr>
        <w:annotationRef/>
      </w:r>
      <w:r>
        <w:t>Causing status failure – include d/s wbs</w:t>
      </w:r>
    </w:p>
  </w:comment>
  <w:comment w:id="5" w:author="Hugh Potter" w:date="2013-05-01T08:34:00Z" w:initials="HP">
    <w:p w14:paraId="2B8DD154" w14:textId="77777777" w:rsidR="00695ACE" w:rsidRDefault="00695ACE">
      <w:pPr>
        <w:pStyle w:val="CommentText"/>
      </w:pPr>
      <w:r>
        <w:rPr>
          <w:rStyle w:val="CommentReference"/>
        </w:rPr>
        <w:annotationRef/>
      </w:r>
      <w:r>
        <w:t>Causing EQS failure – include d/s wbs</w:t>
      </w:r>
    </w:p>
  </w:comment>
  <w:comment w:id="6" w:author="Hugh Potter" w:date="2013-04-30T17:11:00Z" w:initials="HP">
    <w:p w14:paraId="7AA440F4" w14:textId="77777777" w:rsidR="00695ACE" w:rsidRDefault="00695ACE">
      <w:pPr>
        <w:pStyle w:val="CommentText"/>
      </w:pPr>
      <w:r>
        <w:rPr>
          <w:rStyle w:val="CommentReference"/>
        </w:rPr>
        <w:annotationRef/>
      </w:r>
      <w:r>
        <w:t>Assess Cd, Pb, Ni, Zn, Cu.</w:t>
      </w:r>
    </w:p>
    <w:p w14:paraId="0A5CCEC0" w14:textId="77777777" w:rsidR="00695ACE" w:rsidRDefault="00695ACE">
      <w:pPr>
        <w:pStyle w:val="CommentText"/>
      </w:pPr>
      <w:r>
        <w:t>State average failure (e.g. 3x) at d/s or WFD compliance point.</w:t>
      </w:r>
    </w:p>
  </w:comment>
  <w:comment w:id="7" w:author="Hugh Potter" w:date="2013-04-30T17:17:00Z" w:initials="HP">
    <w:p w14:paraId="257443D7" w14:textId="77777777" w:rsidR="00695ACE" w:rsidRDefault="00695ACE">
      <w:pPr>
        <w:pStyle w:val="CommentText"/>
      </w:pPr>
      <w:r>
        <w:rPr>
          <w:rStyle w:val="CommentReference"/>
        </w:rPr>
        <w:annotationRef/>
      </w:r>
      <w:r>
        <w:t>Cu, Zn, Pb, Ni</w:t>
      </w:r>
    </w:p>
  </w:comment>
  <w:comment w:id="8" w:author="Hugh Potter" w:date="2013-05-01T08:55:00Z" w:initials="HP">
    <w:p w14:paraId="785B4966" w14:textId="77777777" w:rsidR="00695ACE" w:rsidRDefault="00695ACE">
      <w:pPr>
        <w:pStyle w:val="CommentText"/>
      </w:pPr>
      <w:r>
        <w:rPr>
          <w:rStyle w:val="CommentReference"/>
        </w:rPr>
        <w:annotationRef/>
      </w:r>
      <w:r>
        <w:t>Include major spoil heap collapse in here</w:t>
      </w:r>
    </w:p>
  </w:comment>
  <w:comment w:id="9" w:author="Hugh Potter" w:date="2013-05-01T08:37:00Z" w:initials="HP">
    <w:p w14:paraId="611BB408" w14:textId="77777777" w:rsidR="00695ACE" w:rsidRDefault="00695ACE" w:rsidP="007753AC">
      <w:pPr>
        <w:pStyle w:val="CommentText"/>
      </w:pPr>
      <w:r>
        <w:rPr>
          <w:rStyle w:val="CommentReference"/>
        </w:rPr>
        <w:annotationRef/>
      </w:r>
      <w:r>
        <w:t># point sources, # diffuse inputs</w:t>
      </w:r>
    </w:p>
  </w:comment>
  <w:comment w:id="10" w:author="Hugh Potter" w:date="2013-05-01T08:37:00Z" w:initials="HP">
    <w:p w14:paraId="7ED678FC" w14:textId="77777777" w:rsidR="00695ACE" w:rsidRDefault="00695ACE">
      <w:pPr>
        <w:pStyle w:val="CommentText"/>
      </w:pPr>
      <w:r>
        <w:rPr>
          <w:rStyle w:val="CommentReference"/>
        </w:rPr>
        <w:annotationRef/>
      </w:r>
      <w:r>
        <w:t>Range calculated from low – high flows. Repeat if multiple sources.</w:t>
      </w:r>
    </w:p>
  </w:comment>
  <w:comment w:id="11" w:author="Hugh Potter" w:date="2013-04-30T17:18:00Z" w:initials="HP">
    <w:p w14:paraId="04EC52D6" w14:textId="77777777" w:rsidR="00695ACE" w:rsidRDefault="00695ACE">
      <w:pPr>
        <w:pStyle w:val="CommentText"/>
      </w:pPr>
      <w:r>
        <w:rPr>
          <w:rStyle w:val="CommentReference"/>
        </w:rPr>
        <w:annotationRef/>
      </w:r>
      <w:r>
        <w:t>To capture diffuse inputs</w:t>
      </w:r>
    </w:p>
  </w:comment>
  <w:comment w:id="12" w:author="Hugh Potter" w:date="2013-04-30T17:15:00Z" w:initials="HP">
    <w:p w14:paraId="793295CF" w14:textId="77777777" w:rsidR="00695ACE" w:rsidRDefault="00695ACE">
      <w:pPr>
        <w:pStyle w:val="CommentText"/>
      </w:pPr>
      <w:r>
        <w:rPr>
          <w:rStyle w:val="CommentReference"/>
        </w:rPr>
        <w:annotationRef/>
      </w:r>
      <w:r>
        <w:t>Use “treatment s/s” and assume 70% removal.</w:t>
      </w:r>
    </w:p>
    <w:p w14:paraId="24AA1DA3" w14:textId="77777777" w:rsidR="00695ACE" w:rsidRDefault="00695ACE">
      <w:pPr>
        <w:pStyle w:val="CommentText"/>
      </w:pPr>
      <w:r>
        <w:t>Would this deal with all failing metals or just some?</w:t>
      </w:r>
    </w:p>
  </w:comment>
  <w:comment w:id="13" w:author="Hugh Potter" w:date="2013-04-30T17:19:00Z" w:initials="HP">
    <w:p w14:paraId="2D3FBE5F" w14:textId="77777777" w:rsidR="00695ACE" w:rsidRDefault="00695ACE">
      <w:pPr>
        <w:pStyle w:val="CommentText"/>
      </w:pPr>
      <w:r>
        <w:rPr>
          <w:rStyle w:val="CommentReference"/>
        </w:rPr>
        <w:annotationRef/>
      </w:r>
      <w:r>
        <w:t>If known</w:t>
      </w:r>
    </w:p>
  </w:comment>
  <w:comment w:id="14" w:author="Hugh Potter" w:date="2013-12-23T10:20:00Z" w:initials="HP">
    <w:p w14:paraId="01771948" w14:textId="77777777" w:rsidR="00695ACE" w:rsidRDefault="00695ACE">
      <w:pPr>
        <w:pStyle w:val="CommentText"/>
      </w:pPr>
      <w:r>
        <w:rPr>
          <w:rStyle w:val="CommentReference"/>
        </w:rPr>
        <w:annotationRef/>
      </w:r>
      <w:r>
        <w:t>If source apportionment study not conclusive.</w:t>
      </w:r>
    </w:p>
  </w:comment>
  <w:comment w:id="15" w:author="Hugh Potter" w:date="2014-08-06T15:06:00Z" w:initials="HP">
    <w:p w14:paraId="51119FAB" w14:textId="77777777" w:rsidR="00695ACE" w:rsidRDefault="00695ACE">
      <w:pPr>
        <w:pStyle w:val="CommentText"/>
      </w:pPr>
      <w:r>
        <w:rPr>
          <w:rStyle w:val="CommentReference"/>
        </w:rPr>
        <w:annotationRef/>
      </w:r>
      <w:r>
        <w:t>Brief summary of key findings, for example.</w:t>
      </w:r>
    </w:p>
  </w:comment>
  <w:comment w:id="16" w:author="Hugh Potter" w:date="2013-05-01T08:47:00Z" w:initials="HP">
    <w:p w14:paraId="2C274C06" w14:textId="77777777" w:rsidR="00695ACE" w:rsidRDefault="00695ACE">
      <w:pPr>
        <w:pStyle w:val="CommentText"/>
      </w:pPr>
      <w:r>
        <w:rPr>
          <w:rStyle w:val="CommentReference"/>
        </w:rPr>
        <w:annotationRef/>
      </w:r>
      <w:r>
        <w:t>High (&lt;1 yr), medium (3-5 yr), low (&gt;5 yrs)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CFC46A1" w15:done="0"/>
  <w15:commentEx w15:paraId="752E926F" w15:done="0"/>
  <w15:commentEx w15:paraId="16B4A796" w15:done="0"/>
  <w15:commentEx w15:paraId="2B8DD154" w15:done="0"/>
  <w15:commentEx w15:paraId="0A5CCEC0" w15:done="0"/>
  <w15:commentEx w15:paraId="257443D7" w15:done="0"/>
  <w15:commentEx w15:paraId="785B4966" w15:done="0"/>
  <w15:commentEx w15:paraId="611BB408" w15:done="0"/>
  <w15:commentEx w15:paraId="7ED678FC" w15:done="0"/>
  <w15:commentEx w15:paraId="04EC52D6" w15:done="0"/>
  <w15:commentEx w15:paraId="24AA1DA3" w15:done="0"/>
  <w15:commentEx w15:paraId="2D3FBE5F" w15:done="0"/>
  <w15:commentEx w15:paraId="01771948" w15:done="0"/>
  <w15:commentEx w15:paraId="51119FAB" w15:done="0"/>
  <w15:commentEx w15:paraId="2C274C06"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AF900D" w14:textId="77777777" w:rsidR="00695ACE" w:rsidRDefault="00695ACE">
      <w:r>
        <w:separator/>
      </w:r>
    </w:p>
  </w:endnote>
  <w:endnote w:type="continuationSeparator" w:id="0">
    <w:p w14:paraId="1A464542" w14:textId="77777777" w:rsidR="00695ACE" w:rsidRDefault="00695A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42A273" w14:textId="77777777" w:rsidR="00695ACE" w:rsidRDefault="00695ACE" w:rsidP="00E429A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05ECF8D" w14:textId="77777777" w:rsidR="00695ACE" w:rsidRDefault="00695A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6F4CB9" w14:textId="6C8CE9FB" w:rsidR="00695ACE" w:rsidRDefault="00695ACE" w:rsidP="00E429A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616B5">
      <w:rPr>
        <w:rStyle w:val="PageNumber"/>
        <w:noProof/>
      </w:rPr>
      <w:t>2</w:t>
    </w:r>
    <w:r>
      <w:rPr>
        <w:rStyle w:val="PageNumber"/>
      </w:rPr>
      <w:fldChar w:fldCharType="end"/>
    </w:r>
  </w:p>
  <w:p w14:paraId="06DF42FB" w14:textId="77777777" w:rsidR="00695ACE" w:rsidRDefault="00695A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4537F0" w14:textId="77777777" w:rsidR="00695ACE" w:rsidRDefault="00695ACE">
      <w:r>
        <w:separator/>
      </w:r>
    </w:p>
  </w:footnote>
  <w:footnote w:type="continuationSeparator" w:id="0">
    <w:p w14:paraId="7B594D09" w14:textId="77777777" w:rsidR="00695ACE" w:rsidRDefault="00695ACE">
      <w:r>
        <w:continuationSeparator/>
      </w:r>
    </w:p>
  </w:footnote>
  <w:footnote w:id="1">
    <w:p w14:paraId="77709570" w14:textId="77777777" w:rsidR="00695ACE" w:rsidRDefault="00695ACE" w:rsidP="00443646">
      <w:pPr>
        <w:pStyle w:val="FootnoteText"/>
      </w:pPr>
      <w:r>
        <w:rPr>
          <w:rStyle w:val="FootnoteReference"/>
        </w:rPr>
        <w:footnoteRef/>
      </w:r>
      <w:r>
        <w:t xml:space="preserve"> Also known as MBAT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AFDB65" w14:textId="2FBB3F87" w:rsidR="00695ACE" w:rsidRDefault="00E616B5">
    <w:pPr>
      <w:pStyle w:val="Header"/>
    </w:pPr>
    <w:r>
      <w:rPr>
        <w:noProof/>
      </w:rPr>
      <mc:AlternateContent>
        <mc:Choice Requires="wps">
          <w:drawing>
            <wp:anchor distT="0" distB="0" distL="114300" distR="114300" simplePos="0" relativeHeight="251657728" behindDoc="0" locked="0" layoutInCell="1" allowOverlap="1" wp14:anchorId="60F697F8" wp14:editId="6A17D7B6">
              <wp:simplePos x="0" y="0"/>
              <wp:positionH relativeFrom="column">
                <wp:posOffset>-556260</wp:posOffset>
              </wp:positionH>
              <wp:positionV relativeFrom="paragraph">
                <wp:posOffset>442595</wp:posOffset>
              </wp:positionV>
              <wp:extent cx="6908165" cy="1005840"/>
              <wp:effectExtent l="1270" t="2540" r="0" b="1270"/>
              <wp:wrapNone/>
              <wp:docPr id="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165" cy="100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58C9F4" w14:textId="77777777" w:rsidR="00695ACE" w:rsidRDefault="00695ACE" w:rsidP="002D0BC0">
                          <w:pPr>
                            <w:rPr>
                              <w:b/>
                              <w:color w:val="FFFFFF"/>
                              <w:sz w:val="36"/>
                              <w:szCs w:val="36"/>
                            </w:rPr>
                          </w:pPr>
                          <w:r>
                            <w:rPr>
                              <w:b/>
                              <w:color w:val="FFFFFF"/>
                              <w:sz w:val="36"/>
                              <w:szCs w:val="36"/>
                            </w:rPr>
                            <w:t>Northumbria River Basin District</w:t>
                          </w:r>
                        </w:p>
                        <w:p w14:paraId="26487939" w14:textId="77777777" w:rsidR="00695ACE" w:rsidRDefault="00695ACE" w:rsidP="002D0BC0">
                          <w:pPr>
                            <w:rPr>
                              <w:b/>
                              <w:color w:val="FFFFFF"/>
                              <w:sz w:val="36"/>
                              <w:szCs w:val="36"/>
                            </w:rPr>
                          </w:pPr>
                          <w:r>
                            <w:rPr>
                              <w:b/>
                              <w:color w:val="FFFFFF"/>
                              <w:sz w:val="36"/>
                              <w:szCs w:val="36"/>
                            </w:rPr>
                            <w:t>Mining pollution: catchment characterisation report</w:t>
                          </w:r>
                        </w:p>
                        <w:p w14:paraId="455F428B" w14:textId="77777777" w:rsidR="00695ACE" w:rsidRDefault="00695ACE" w:rsidP="002D0BC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F697F8" id="_x0000_t202" coordsize="21600,21600" o:spt="202" path="m,l,21600r21600,l21600,xe">
              <v:stroke joinstyle="miter"/>
              <v:path gradientshapeok="t" o:connecttype="rect"/>
            </v:shapetype>
            <v:shape id="Text Box 9" o:spid="_x0000_s1027" type="#_x0000_t202" style="position:absolute;left:0;text-align:left;margin-left:-43.8pt;margin-top:34.85pt;width:543.95pt;height:79.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" filled="f" stroked="f">
              <v:textbox>
                <w:txbxContent>
                  <w:p w14:paraId="6158C9F4" w14:textId="77777777" w:rsidR="00695ACE" w:rsidRDefault="00695ACE" w:rsidP="002D0BC0">
                    <w:pPr>
                      <w:rPr>
                        <w:b/>
                        <w:color w:val="FFFFFF"/>
                        <w:sz w:val="36"/>
                        <w:szCs w:val="36"/>
                      </w:rPr>
                    </w:pPr>
                    <w:r>
                      <w:rPr>
                        <w:b/>
                        <w:color w:val="FFFFFF"/>
                        <w:sz w:val="36"/>
                        <w:szCs w:val="36"/>
                      </w:rPr>
                      <w:t>Northumbria River Basin District</w:t>
                    </w:r>
                  </w:p>
                  <w:p w14:paraId="26487939" w14:textId="77777777" w:rsidR="00695ACE" w:rsidRDefault="00695ACE" w:rsidP="002D0BC0">
                    <w:pPr>
                      <w:rPr>
                        <w:b/>
                        <w:color w:val="FFFFFF"/>
                        <w:sz w:val="36"/>
                        <w:szCs w:val="36"/>
                      </w:rPr>
                    </w:pPr>
                    <w:r>
                      <w:rPr>
                        <w:b/>
                        <w:color w:val="FFFFFF"/>
                        <w:sz w:val="36"/>
                        <w:szCs w:val="36"/>
                      </w:rPr>
                      <w:t>Mining pollution: catchment characterisation report</w:t>
                    </w:r>
                  </w:p>
                  <w:p w14:paraId="455F428B" w14:textId="77777777" w:rsidR="00695ACE" w:rsidRDefault="00695ACE" w:rsidP="002D0BC0"/>
                </w:txbxContent>
              </v:textbox>
            </v:shape>
          </w:pict>
        </mc:Fallback>
      </mc:AlternateContent>
    </w:r>
    <w:r w:rsidR="00695ACE">
      <w:rPr>
        <w:noProof/>
      </w:rPr>
      <w:drawing>
        <wp:anchor distT="0" distB="0" distL="114300" distR="114300" simplePos="0" relativeHeight="251656704" behindDoc="1" locked="0" layoutInCell="1" allowOverlap="1" wp14:anchorId="6F30DD6F" wp14:editId="40ABCB15">
          <wp:simplePos x="0" y="0"/>
          <wp:positionH relativeFrom="column">
            <wp:posOffset>-545465</wp:posOffset>
          </wp:positionH>
          <wp:positionV relativeFrom="paragraph">
            <wp:align>top</wp:align>
          </wp:positionV>
          <wp:extent cx="7197090" cy="1376680"/>
          <wp:effectExtent l="19050" t="0" r="3810" b="0"/>
          <wp:wrapNone/>
          <wp:docPr id="5" name="Picture 5" descr="Blank header 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lank header orange"/>
                  <pic:cNvPicPr>
                    <a:picLocks noChangeAspect="1" noChangeArrowheads="1"/>
                  </pic:cNvPicPr>
                </pic:nvPicPr>
                <pic:blipFill>
                  <a:blip r:embed="rId1"/>
                  <a:srcRect/>
                  <a:stretch>
                    <a:fillRect/>
                  </a:stretch>
                </pic:blipFill>
                <pic:spPr bwMode="auto">
                  <a:xfrm>
                    <a:off x="0" y="0"/>
                    <a:ext cx="7197090" cy="1376680"/>
                  </a:xfrm>
                  <a:prstGeom prst="rect">
                    <a:avLst/>
                  </a:prstGeom>
                  <a:noFill/>
                  <a:ln w="9525">
                    <a:noFill/>
                    <a:miter lim="800000"/>
                    <a:headEnd/>
                    <a:tailEnd/>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EA6036" w14:textId="59BB5514" w:rsidR="00695ACE" w:rsidRDefault="00E616B5">
    <w:pPr>
      <w:pStyle w:val="Header"/>
    </w:pPr>
    <w:r>
      <w:rPr>
        <w:noProof/>
      </w:rPr>
      <mc:AlternateContent>
        <mc:Choice Requires="wps">
          <w:drawing>
            <wp:anchor distT="0" distB="0" distL="114300" distR="114300" simplePos="0" relativeHeight="251658752" behindDoc="0" locked="0" layoutInCell="1" allowOverlap="1" wp14:anchorId="199AC3DE" wp14:editId="063FD42C">
              <wp:simplePos x="0" y="0"/>
              <wp:positionH relativeFrom="column">
                <wp:posOffset>-556260</wp:posOffset>
              </wp:positionH>
              <wp:positionV relativeFrom="paragraph">
                <wp:posOffset>442595</wp:posOffset>
              </wp:positionV>
              <wp:extent cx="6908165" cy="1005840"/>
              <wp:effectExtent l="0" t="2540" r="1270" b="1270"/>
              <wp:wrapNone/>
              <wp:docPr id="1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8165" cy="100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D13B5C" w14:textId="77777777" w:rsidR="00695ACE" w:rsidRDefault="00695ACE" w:rsidP="002D0BC0">
                          <w:pPr>
                            <w:rPr>
                              <w:b/>
                              <w:color w:val="FFFFFF"/>
                              <w:sz w:val="36"/>
                              <w:szCs w:val="36"/>
                            </w:rPr>
                          </w:pPr>
                          <w:r>
                            <w:rPr>
                              <w:b/>
                              <w:color w:val="FFFFFF"/>
                              <w:sz w:val="36"/>
                              <w:szCs w:val="36"/>
                            </w:rPr>
                            <w:t>Northumbria River Basin District</w:t>
                          </w:r>
                        </w:p>
                        <w:p w14:paraId="18DF2D3D" w14:textId="77777777" w:rsidR="00695ACE" w:rsidRDefault="00695ACE" w:rsidP="002D0BC0">
                          <w:pPr>
                            <w:rPr>
                              <w:b/>
                              <w:color w:val="FFFFFF"/>
                              <w:sz w:val="36"/>
                              <w:szCs w:val="36"/>
                            </w:rPr>
                          </w:pPr>
                          <w:r>
                            <w:rPr>
                              <w:b/>
                              <w:color w:val="FFFFFF"/>
                              <w:sz w:val="36"/>
                              <w:szCs w:val="36"/>
                            </w:rPr>
                            <w:t>Mining pollution: catchment characterisation report</w:t>
                          </w:r>
                        </w:p>
                        <w:p w14:paraId="44D73788" w14:textId="77777777" w:rsidR="00695ACE" w:rsidRDefault="00695ACE" w:rsidP="002D0BC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9AC3DE" id="_x0000_t202" coordsize="21600,21600" o:spt="202" path="m,l,21600r21600,l21600,xe">
              <v:stroke joinstyle="miter"/>
              <v:path gradientshapeok="t" o:connecttype="rect"/>
            </v:shapetype>
            <v:shape id="Text Box 11" o:spid="_x0000_s1028" type="#_x0000_t202" style="position:absolute;left:0;text-align:left;margin-left:-43.8pt;margin-top:34.85pt;width:543.95pt;height:79.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" filled="f" stroked="f">
              <v:textbox>
                <w:txbxContent>
                  <w:p w14:paraId="7FD13B5C" w14:textId="77777777" w:rsidR="00695ACE" w:rsidRDefault="00695ACE" w:rsidP="002D0BC0">
                    <w:pPr>
                      <w:rPr>
                        <w:b/>
                        <w:color w:val="FFFFFF"/>
                        <w:sz w:val="36"/>
                        <w:szCs w:val="36"/>
                      </w:rPr>
                    </w:pPr>
                    <w:r>
                      <w:rPr>
                        <w:b/>
                        <w:color w:val="FFFFFF"/>
                        <w:sz w:val="36"/>
                        <w:szCs w:val="36"/>
                      </w:rPr>
                      <w:t>Northumbria River Basin District</w:t>
                    </w:r>
                  </w:p>
                  <w:p w14:paraId="18DF2D3D" w14:textId="77777777" w:rsidR="00695ACE" w:rsidRDefault="00695ACE" w:rsidP="002D0BC0">
                    <w:pPr>
                      <w:rPr>
                        <w:b/>
                        <w:color w:val="FFFFFF"/>
                        <w:sz w:val="36"/>
                        <w:szCs w:val="36"/>
                      </w:rPr>
                    </w:pPr>
                    <w:r>
                      <w:rPr>
                        <w:b/>
                        <w:color w:val="FFFFFF"/>
                        <w:sz w:val="36"/>
                        <w:szCs w:val="36"/>
                      </w:rPr>
                      <w:t>Mining pollution: catchment characterisation report</w:t>
                    </w:r>
                  </w:p>
                  <w:p w14:paraId="44D73788" w14:textId="77777777" w:rsidR="00695ACE" w:rsidRDefault="00695ACE" w:rsidP="002D0BC0"/>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83C03"/>
    <w:multiLevelType w:val="hybridMultilevel"/>
    <w:tmpl w:val="DAA6BBAE"/>
    <w:lvl w:ilvl="0" w:tplc="08090001">
      <w:start w:val="1"/>
      <w:numFmt w:val="bullet"/>
      <w:lvlText w:val=""/>
      <w:lvlJc w:val="left"/>
      <w:pPr>
        <w:ind w:left="2880" w:hanging="360"/>
      </w:pPr>
      <w:rPr>
        <w:rFonts w:ascii="Symbol" w:hAnsi="Symbol" w:hint="default"/>
      </w:rPr>
    </w:lvl>
    <w:lvl w:ilvl="1" w:tplc="08090003" w:tentative="1">
      <w:start w:val="1"/>
      <w:numFmt w:val="bullet"/>
      <w:lvlText w:val="o"/>
      <w:lvlJc w:val="left"/>
      <w:pPr>
        <w:ind w:left="3600" w:hanging="360"/>
      </w:pPr>
      <w:rPr>
        <w:rFonts w:ascii="Courier New" w:hAnsi="Courier New" w:cs="Courier New" w:hint="default"/>
      </w:rPr>
    </w:lvl>
    <w:lvl w:ilvl="2" w:tplc="08090005" w:tentative="1">
      <w:start w:val="1"/>
      <w:numFmt w:val="bullet"/>
      <w:lvlText w:val=""/>
      <w:lvlJc w:val="left"/>
      <w:pPr>
        <w:ind w:left="4320" w:hanging="360"/>
      </w:pPr>
      <w:rPr>
        <w:rFonts w:ascii="Wingdings" w:hAnsi="Wingdings" w:hint="default"/>
      </w:rPr>
    </w:lvl>
    <w:lvl w:ilvl="3" w:tplc="08090001" w:tentative="1">
      <w:start w:val="1"/>
      <w:numFmt w:val="bullet"/>
      <w:lvlText w:val=""/>
      <w:lvlJc w:val="left"/>
      <w:pPr>
        <w:ind w:left="5040" w:hanging="360"/>
      </w:pPr>
      <w:rPr>
        <w:rFonts w:ascii="Symbol" w:hAnsi="Symbol" w:hint="default"/>
      </w:rPr>
    </w:lvl>
    <w:lvl w:ilvl="4" w:tplc="08090003" w:tentative="1">
      <w:start w:val="1"/>
      <w:numFmt w:val="bullet"/>
      <w:lvlText w:val="o"/>
      <w:lvlJc w:val="left"/>
      <w:pPr>
        <w:ind w:left="5760" w:hanging="360"/>
      </w:pPr>
      <w:rPr>
        <w:rFonts w:ascii="Courier New" w:hAnsi="Courier New" w:cs="Courier New" w:hint="default"/>
      </w:rPr>
    </w:lvl>
    <w:lvl w:ilvl="5" w:tplc="08090005" w:tentative="1">
      <w:start w:val="1"/>
      <w:numFmt w:val="bullet"/>
      <w:lvlText w:val=""/>
      <w:lvlJc w:val="left"/>
      <w:pPr>
        <w:ind w:left="6480" w:hanging="360"/>
      </w:pPr>
      <w:rPr>
        <w:rFonts w:ascii="Wingdings" w:hAnsi="Wingdings" w:hint="default"/>
      </w:rPr>
    </w:lvl>
    <w:lvl w:ilvl="6" w:tplc="08090001" w:tentative="1">
      <w:start w:val="1"/>
      <w:numFmt w:val="bullet"/>
      <w:lvlText w:val=""/>
      <w:lvlJc w:val="left"/>
      <w:pPr>
        <w:ind w:left="7200" w:hanging="360"/>
      </w:pPr>
      <w:rPr>
        <w:rFonts w:ascii="Symbol" w:hAnsi="Symbol" w:hint="default"/>
      </w:rPr>
    </w:lvl>
    <w:lvl w:ilvl="7" w:tplc="08090003" w:tentative="1">
      <w:start w:val="1"/>
      <w:numFmt w:val="bullet"/>
      <w:lvlText w:val="o"/>
      <w:lvlJc w:val="left"/>
      <w:pPr>
        <w:ind w:left="7920" w:hanging="360"/>
      </w:pPr>
      <w:rPr>
        <w:rFonts w:ascii="Courier New" w:hAnsi="Courier New" w:cs="Courier New" w:hint="default"/>
      </w:rPr>
    </w:lvl>
    <w:lvl w:ilvl="8" w:tplc="08090005" w:tentative="1">
      <w:start w:val="1"/>
      <w:numFmt w:val="bullet"/>
      <w:lvlText w:val=""/>
      <w:lvlJc w:val="left"/>
      <w:pPr>
        <w:ind w:left="8640" w:hanging="360"/>
      </w:pPr>
      <w:rPr>
        <w:rFonts w:ascii="Wingdings" w:hAnsi="Wingdings" w:hint="default"/>
      </w:rPr>
    </w:lvl>
  </w:abstractNum>
  <w:abstractNum w:abstractNumId="1" w15:restartNumberingAfterBreak="0">
    <w:nsid w:val="0F91625D"/>
    <w:multiLevelType w:val="hybridMultilevel"/>
    <w:tmpl w:val="90360C7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4D73D71"/>
    <w:multiLevelType w:val="hybridMultilevel"/>
    <w:tmpl w:val="C506F9F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53C5573"/>
    <w:multiLevelType w:val="hybridMultilevel"/>
    <w:tmpl w:val="9EAE002E"/>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 w15:restartNumberingAfterBreak="0">
    <w:nsid w:val="1B74553F"/>
    <w:multiLevelType w:val="hybridMultilevel"/>
    <w:tmpl w:val="1DCEC29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0FA45AA"/>
    <w:multiLevelType w:val="hybridMultilevel"/>
    <w:tmpl w:val="9A229EA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31216A0"/>
    <w:multiLevelType w:val="multilevel"/>
    <w:tmpl w:val="47E0A896"/>
    <w:lvl w:ilvl="0">
      <w:start w:val="1"/>
      <w:numFmt w:val="bullet"/>
      <w:lvlText w:val=""/>
      <w:lvlJc w:val="left"/>
      <w:pPr>
        <w:tabs>
          <w:tab w:val="num" w:pos="360"/>
        </w:tabs>
        <w:ind w:left="36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A1102A4"/>
    <w:multiLevelType w:val="hybridMultilevel"/>
    <w:tmpl w:val="0BB465E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D3F0B3D"/>
    <w:multiLevelType w:val="hybridMultilevel"/>
    <w:tmpl w:val="C5A03A9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9" w15:restartNumberingAfterBreak="0">
    <w:nsid w:val="2DE44250"/>
    <w:multiLevelType w:val="hybridMultilevel"/>
    <w:tmpl w:val="102855FA"/>
    <w:lvl w:ilvl="0" w:tplc="0809000F">
      <w:start w:val="1"/>
      <w:numFmt w:val="decimal"/>
      <w:lvlText w:val="%1."/>
      <w:lvlJc w:val="left"/>
      <w:pPr>
        <w:ind w:left="6" w:hanging="360"/>
      </w:pPr>
    </w:lvl>
    <w:lvl w:ilvl="1" w:tplc="08090001">
      <w:start w:val="1"/>
      <w:numFmt w:val="bullet"/>
      <w:lvlText w:val=""/>
      <w:lvlJc w:val="left"/>
      <w:pPr>
        <w:ind w:left="726" w:hanging="360"/>
      </w:pPr>
      <w:rPr>
        <w:rFonts w:ascii="Symbol" w:hAnsi="Symbol" w:hint="default"/>
      </w:rPr>
    </w:lvl>
    <w:lvl w:ilvl="2" w:tplc="0809001B" w:tentative="1">
      <w:start w:val="1"/>
      <w:numFmt w:val="lowerRoman"/>
      <w:lvlText w:val="%3."/>
      <w:lvlJc w:val="right"/>
      <w:pPr>
        <w:ind w:left="1446" w:hanging="180"/>
      </w:pPr>
    </w:lvl>
    <w:lvl w:ilvl="3" w:tplc="0809000F" w:tentative="1">
      <w:start w:val="1"/>
      <w:numFmt w:val="decimal"/>
      <w:lvlText w:val="%4."/>
      <w:lvlJc w:val="left"/>
      <w:pPr>
        <w:ind w:left="2166" w:hanging="360"/>
      </w:pPr>
    </w:lvl>
    <w:lvl w:ilvl="4" w:tplc="08090019" w:tentative="1">
      <w:start w:val="1"/>
      <w:numFmt w:val="lowerLetter"/>
      <w:lvlText w:val="%5."/>
      <w:lvlJc w:val="left"/>
      <w:pPr>
        <w:ind w:left="2886" w:hanging="360"/>
      </w:pPr>
    </w:lvl>
    <w:lvl w:ilvl="5" w:tplc="0809001B" w:tentative="1">
      <w:start w:val="1"/>
      <w:numFmt w:val="lowerRoman"/>
      <w:lvlText w:val="%6."/>
      <w:lvlJc w:val="right"/>
      <w:pPr>
        <w:ind w:left="3606" w:hanging="180"/>
      </w:pPr>
    </w:lvl>
    <w:lvl w:ilvl="6" w:tplc="0809000F" w:tentative="1">
      <w:start w:val="1"/>
      <w:numFmt w:val="decimal"/>
      <w:lvlText w:val="%7."/>
      <w:lvlJc w:val="left"/>
      <w:pPr>
        <w:ind w:left="4326" w:hanging="360"/>
      </w:pPr>
    </w:lvl>
    <w:lvl w:ilvl="7" w:tplc="08090019" w:tentative="1">
      <w:start w:val="1"/>
      <w:numFmt w:val="lowerLetter"/>
      <w:lvlText w:val="%8."/>
      <w:lvlJc w:val="left"/>
      <w:pPr>
        <w:ind w:left="5046" w:hanging="360"/>
      </w:pPr>
    </w:lvl>
    <w:lvl w:ilvl="8" w:tplc="0809001B" w:tentative="1">
      <w:start w:val="1"/>
      <w:numFmt w:val="lowerRoman"/>
      <w:lvlText w:val="%9."/>
      <w:lvlJc w:val="right"/>
      <w:pPr>
        <w:ind w:left="5766" w:hanging="180"/>
      </w:pPr>
    </w:lvl>
  </w:abstractNum>
  <w:abstractNum w:abstractNumId="10" w15:restartNumberingAfterBreak="0">
    <w:nsid w:val="30710EB2"/>
    <w:multiLevelType w:val="hybridMultilevel"/>
    <w:tmpl w:val="0ABC34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258148E"/>
    <w:multiLevelType w:val="hybridMultilevel"/>
    <w:tmpl w:val="A0383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6B862F1"/>
    <w:multiLevelType w:val="hybridMultilevel"/>
    <w:tmpl w:val="5366F66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238277B"/>
    <w:multiLevelType w:val="hybridMultilevel"/>
    <w:tmpl w:val="9A7ADAD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5A03D8F"/>
    <w:multiLevelType w:val="hybridMultilevel"/>
    <w:tmpl w:val="B1885C3C"/>
    <w:lvl w:ilvl="0" w:tplc="55BC640E">
      <w:start w:val="1"/>
      <w:numFmt w:val="bullet"/>
      <w:pStyle w:val="BulletText2"/>
      <w:lvlText w:val=""/>
      <w:lvlJc w:val="left"/>
      <w:pPr>
        <w:tabs>
          <w:tab w:val="num" w:pos="547"/>
        </w:tabs>
        <w:ind w:left="547" w:hanging="360"/>
      </w:pPr>
      <w:rPr>
        <w:rFonts w:ascii="Wingdings" w:hAnsi="Wingdings" w:hint="default"/>
        <w:color w:val="808000"/>
      </w:rPr>
    </w:lvl>
    <w:lvl w:ilvl="1" w:tplc="F08CBDF2" w:tentative="1">
      <w:start w:val="1"/>
      <w:numFmt w:val="bullet"/>
      <w:lvlText w:val="o"/>
      <w:lvlJc w:val="left"/>
      <w:pPr>
        <w:tabs>
          <w:tab w:val="num" w:pos="1440"/>
        </w:tabs>
        <w:ind w:left="1440" w:hanging="360"/>
      </w:pPr>
      <w:rPr>
        <w:rFonts w:ascii="Courier New" w:hAnsi="Courier New" w:cs="Courier New" w:hint="default"/>
      </w:rPr>
    </w:lvl>
    <w:lvl w:ilvl="2" w:tplc="89D8B9BE" w:tentative="1">
      <w:start w:val="1"/>
      <w:numFmt w:val="bullet"/>
      <w:lvlText w:val=""/>
      <w:lvlJc w:val="left"/>
      <w:pPr>
        <w:tabs>
          <w:tab w:val="num" w:pos="2160"/>
        </w:tabs>
        <w:ind w:left="2160" w:hanging="360"/>
      </w:pPr>
      <w:rPr>
        <w:rFonts w:ascii="Wingdings" w:hAnsi="Wingdings" w:hint="default"/>
      </w:rPr>
    </w:lvl>
    <w:lvl w:ilvl="3" w:tplc="3C46A614" w:tentative="1">
      <w:start w:val="1"/>
      <w:numFmt w:val="bullet"/>
      <w:lvlText w:val=""/>
      <w:lvlJc w:val="left"/>
      <w:pPr>
        <w:tabs>
          <w:tab w:val="num" w:pos="2880"/>
        </w:tabs>
        <w:ind w:left="2880" w:hanging="360"/>
      </w:pPr>
      <w:rPr>
        <w:rFonts w:ascii="Symbol" w:hAnsi="Symbol" w:hint="default"/>
      </w:rPr>
    </w:lvl>
    <w:lvl w:ilvl="4" w:tplc="EA32453E" w:tentative="1">
      <w:start w:val="1"/>
      <w:numFmt w:val="bullet"/>
      <w:lvlText w:val="o"/>
      <w:lvlJc w:val="left"/>
      <w:pPr>
        <w:tabs>
          <w:tab w:val="num" w:pos="3600"/>
        </w:tabs>
        <w:ind w:left="3600" w:hanging="360"/>
      </w:pPr>
      <w:rPr>
        <w:rFonts w:ascii="Courier New" w:hAnsi="Courier New" w:cs="Courier New" w:hint="default"/>
      </w:rPr>
    </w:lvl>
    <w:lvl w:ilvl="5" w:tplc="BF5A8A50" w:tentative="1">
      <w:start w:val="1"/>
      <w:numFmt w:val="bullet"/>
      <w:lvlText w:val=""/>
      <w:lvlJc w:val="left"/>
      <w:pPr>
        <w:tabs>
          <w:tab w:val="num" w:pos="4320"/>
        </w:tabs>
        <w:ind w:left="4320" w:hanging="360"/>
      </w:pPr>
      <w:rPr>
        <w:rFonts w:ascii="Wingdings" w:hAnsi="Wingdings" w:hint="default"/>
      </w:rPr>
    </w:lvl>
    <w:lvl w:ilvl="6" w:tplc="B4605180" w:tentative="1">
      <w:start w:val="1"/>
      <w:numFmt w:val="bullet"/>
      <w:lvlText w:val=""/>
      <w:lvlJc w:val="left"/>
      <w:pPr>
        <w:tabs>
          <w:tab w:val="num" w:pos="5040"/>
        </w:tabs>
        <w:ind w:left="5040" w:hanging="360"/>
      </w:pPr>
      <w:rPr>
        <w:rFonts w:ascii="Symbol" w:hAnsi="Symbol" w:hint="default"/>
      </w:rPr>
    </w:lvl>
    <w:lvl w:ilvl="7" w:tplc="31FE4EEA" w:tentative="1">
      <w:start w:val="1"/>
      <w:numFmt w:val="bullet"/>
      <w:lvlText w:val="o"/>
      <w:lvlJc w:val="left"/>
      <w:pPr>
        <w:tabs>
          <w:tab w:val="num" w:pos="5760"/>
        </w:tabs>
        <w:ind w:left="5760" w:hanging="360"/>
      </w:pPr>
      <w:rPr>
        <w:rFonts w:ascii="Courier New" w:hAnsi="Courier New" w:cs="Courier New" w:hint="default"/>
      </w:rPr>
    </w:lvl>
    <w:lvl w:ilvl="8" w:tplc="E576A00C"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F5120F2"/>
    <w:multiLevelType w:val="hybridMultilevel"/>
    <w:tmpl w:val="12BAC4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2DB5C3A"/>
    <w:multiLevelType w:val="hybridMultilevel"/>
    <w:tmpl w:val="E10AE5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7121E6B"/>
    <w:multiLevelType w:val="hybridMultilevel"/>
    <w:tmpl w:val="42402596"/>
    <w:lvl w:ilvl="0" w:tplc="F2121D98">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7895CDE"/>
    <w:multiLevelType w:val="multilevel"/>
    <w:tmpl w:val="7AACBE86"/>
    <w:lvl w:ilvl="0">
      <w:start w:val="1"/>
      <w:numFmt w:val="bullet"/>
      <w:lvlText w:val=""/>
      <w:lvlJc w:val="left"/>
      <w:pPr>
        <w:tabs>
          <w:tab w:val="num" w:pos="360"/>
        </w:tabs>
        <w:ind w:left="360" w:hanging="360"/>
      </w:pPr>
      <w:rPr>
        <w:rFonts w:ascii="Wingdings" w:hAnsi="Wingdings" w:hint="default"/>
        <w:color w:val="80800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B1C17A8"/>
    <w:multiLevelType w:val="multilevel"/>
    <w:tmpl w:val="E1EE2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441502B"/>
    <w:multiLevelType w:val="hybridMultilevel"/>
    <w:tmpl w:val="B3241934"/>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1" w15:restartNumberingAfterBreak="0">
    <w:nsid w:val="64FC6946"/>
    <w:multiLevelType w:val="hybridMultilevel"/>
    <w:tmpl w:val="C90EAE2E"/>
    <w:lvl w:ilvl="0" w:tplc="08090001">
      <w:start w:val="1"/>
      <w:numFmt w:val="bullet"/>
      <w:lvlText w:val=""/>
      <w:lvlJc w:val="left"/>
      <w:pPr>
        <w:ind w:left="1627" w:hanging="360"/>
      </w:pPr>
      <w:rPr>
        <w:rFonts w:ascii="Symbol" w:hAnsi="Symbol" w:hint="default"/>
      </w:rPr>
    </w:lvl>
    <w:lvl w:ilvl="1" w:tplc="08090003">
      <w:start w:val="1"/>
      <w:numFmt w:val="bullet"/>
      <w:lvlText w:val="o"/>
      <w:lvlJc w:val="left"/>
      <w:pPr>
        <w:ind w:left="2347" w:hanging="360"/>
      </w:pPr>
      <w:rPr>
        <w:rFonts w:ascii="Courier New" w:hAnsi="Courier New" w:cs="Courier New" w:hint="default"/>
      </w:rPr>
    </w:lvl>
    <w:lvl w:ilvl="2" w:tplc="08090005">
      <w:start w:val="1"/>
      <w:numFmt w:val="bullet"/>
      <w:lvlText w:val=""/>
      <w:lvlJc w:val="left"/>
      <w:pPr>
        <w:ind w:left="3067" w:hanging="360"/>
      </w:pPr>
      <w:rPr>
        <w:rFonts w:ascii="Wingdings" w:hAnsi="Wingdings" w:hint="default"/>
      </w:rPr>
    </w:lvl>
    <w:lvl w:ilvl="3" w:tplc="08090001" w:tentative="1">
      <w:start w:val="1"/>
      <w:numFmt w:val="bullet"/>
      <w:lvlText w:val=""/>
      <w:lvlJc w:val="left"/>
      <w:pPr>
        <w:ind w:left="3787" w:hanging="360"/>
      </w:pPr>
      <w:rPr>
        <w:rFonts w:ascii="Symbol" w:hAnsi="Symbol" w:hint="default"/>
      </w:rPr>
    </w:lvl>
    <w:lvl w:ilvl="4" w:tplc="08090003" w:tentative="1">
      <w:start w:val="1"/>
      <w:numFmt w:val="bullet"/>
      <w:lvlText w:val="o"/>
      <w:lvlJc w:val="left"/>
      <w:pPr>
        <w:ind w:left="4507" w:hanging="360"/>
      </w:pPr>
      <w:rPr>
        <w:rFonts w:ascii="Courier New" w:hAnsi="Courier New" w:cs="Courier New" w:hint="default"/>
      </w:rPr>
    </w:lvl>
    <w:lvl w:ilvl="5" w:tplc="08090005" w:tentative="1">
      <w:start w:val="1"/>
      <w:numFmt w:val="bullet"/>
      <w:lvlText w:val=""/>
      <w:lvlJc w:val="left"/>
      <w:pPr>
        <w:ind w:left="5227" w:hanging="360"/>
      </w:pPr>
      <w:rPr>
        <w:rFonts w:ascii="Wingdings" w:hAnsi="Wingdings" w:hint="default"/>
      </w:rPr>
    </w:lvl>
    <w:lvl w:ilvl="6" w:tplc="08090001" w:tentative="1">
      <w:start w:val="1"/>
      <w:numFmt w:val="bullet"/>
      <w:lvlText w:val=""/>
      <w:lvlJc w:val="left"/>
      <w:pPr>
        <w:ind w:left="5947" w:hanging="360"/>
      </w:pPr>
      <w:rPr>
        <w:rFonts w:ascii="Symbol" w:hAnsi="Symbol" w:hint="default"/>
      </w:rPr>
    </w:lvl>
    <w:lvl w:ilvl="7" w:tplc="08090003" w:tentative="1">
      <w:start w:val="1"/>
      <w:numFmt w:val="bullet"/>
      <w:lvlText w:val="o"/>
      <w:lvlJc w:val="left"/>
      <w:pPr>
        <w:ind w:left="6667" w:hanging="360"/>
      </w:pPr>
      <w:rPr>
        <w:rFonts w:ascii="Courier New" w:hAnsi="Courier New" w:cs="Courier New" w:hint="default"/>
      </w:rPr>
    </w:lvl>
    <w:lvl w:ilvl="8" w:tplc="08090005" w:tentative="1">
      <w:start w:val="1"/>
      <w:numFmt w:val="bullet"/>
      <w:lvlText w:val=""/>
      <w:lvlJc w:val="left"/>
      <w:pPr>
        <w:ind w:left="7387" w:hanging="360"/>
      </w:pPr>
      <w:rPr>
        <w:rFonts w:ascii="Wingdings" w:hAnsi="Wingdings" w:hint="default"/>
      </w:rPr>
    </w:lvl>
  </w:abstractNum>
  <w:abstractNum w:abstractNumId="22" w15:restartNumberingAfterBreak="0">
    <w:nsid w:val="6553721D"/>
    <w:multiLevelType w:val="hybridMultilevel"/>
    <w:tmpl w:val="339676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A231DF3"/>
    <w:multiLevelType w:val="hybridMultilevel"/>
    <w:tmpl w:val="D4EE4FA2"/>
    <w:lvl w:ilvl="0" w:tplc="B71EA3D6">
      <w:start w:val="1"/>
      <w:numFmt w:val="bullet"/>
      <w:pStyle w:val="BulletText1"/>
      <w:lvlText w:val=""/>
      <w:lvlJc w:val="left"/>
      <w:pPr>
        <w:tabs>
          <w:tab w:val="num" w:pos="360"/>
        </w:tabs>
        <w:ind w:left="360" w:hanging="360"/>
      </w:pPr>
      <w:rPr>
        <w:rFonts w:ascii="Wingdings" w:hAnsi="Wingdings" w:hint="default"/>
        <w:color w:val="DE791C"/>
      </w:rPr>
    </w:lvl>
    <w:lvl w:ilvl="1" w:tplc="DB34129C" w:tentative="1">
      <w:start w:val="1"/>
      <w:numFmt w:val="bullet"/>
      <w:lvlText w:val="o"/>
      <w:lvlJc w:val="left"/>
      <w:pPr>
        <w:tabs>
          <w:tab w:val="num" w:pos="1440"/>
        </w:tabs>
        <w:ind w:left="1440" w:hanging="360"/>
      </w:pPr>
      <w:rPr>
        <w:rFonts w:ascii="Courier New" w:hAnsi="Courier New" w:cs="Courier New" w:hint="default"/>
      </w:rPr>
    </w:lvl>
    <w:lvl w:ilvl="2" w:tplc="2722B728" w:tentative="1">
      <w:start w:val="1"/>
      <w:numFmt w:val="bullet"/>
      <w:lvlText w:val=""/>
      <w:lvlJc w:val="left"/>
      <w:pPr>
        <w:tabs>
          <w:tab w:val="num" w:pos="2160"/>
        </w:tabs>
        <w:ind w:left="2160" w:hanging="360"/>
      </w:pPr>
      <w:rPr>
        <w:rFonts w:ascii="Wingdings" w:hAnsi="Wingdings" w:hint="default"/>
      </w:rPr>
    </w:lvl>
    <w:lvl w:ilvl="3" w:tplc="FD7633B2" w:tentative="1">
      <w:start w:val="1"/>
      <w:numFmt w:val="bullet"/>
      <w:lvlText w:val=""/>
      <w:lvlJc w:val="left"/>
      <w:pPr>
        <w:tabs>
          <w:tab w:val="num" w:pos="2880"/>
        </w:tabs>
        <w:ind w:left="2880" w:hanging="360"/>
      </w:pPr>
      <w:rPr>
        <w:rFonts w:ascii="Symbol" w:hAnsi="Symbol" w:hint="default"/>
      </w:rPr>
    </w:lvl>
    <w:lvl w:ilvl="4" w:tplc="8CFC100A" w:tentative="1">
      <w:start w:val="1"/>
      <w:numFmt w:val="bullet"/>
      <w:lvlText w:val="o"/>
      <w:lvlJc w:val="left"/>
      <w:pPr>
        <w:tabs>
          <w:tab w:val="num" w:pos="3600"/>
        </w:tabs>
        <w:ind w:left="3600" w:hanging="360"/>
      </w:pPr>
      <w:rPr>
        <w:rFonts w:ascii="Courier New" w:hAnsi="Courier New" w:cs="Courier New" w:hint="default"/>
      </w:rPr>
    </w:lvl>
    <w:lvl w:ilvl="5" w:tplc="AD0AEFBE" w:tentative="1">
      <w:start w:val="1"/>
      <w:numFmt w:val="bullet"/>
      <w:lvlText w:val=""/>
      <w:lvlJc w:val="left"/>
      <w:pPr>
        <w:tabs>
          <w:tab w:val="num" w:pos="4320"/>
        </w:tabs>
        <w:ind w:left="4320" w:hanging="360"/>
      </w:pPr>
      <w:rPr>
        <w:rFonts w:ascii="Wingdings" w:hAnsi="Wingdings" w:hint="default"/>
      </w:rPr>
    </w:lvl>
    <w:lvl w:ilvl="6" w:tplc="04660FCE" w:tentative="1">
      <w:start w:val="1"/>
      <w:numFmt w:val="bullet"/>
      <w:lvlText w:val=""/>
      <w:lvlJc w:val="left"/>
      <w:pPr>
        <w:tabs>
          <w:tab w:val="num" w:pos="5040"/>
        </w:tabs>
        <w:ind w:left="5040" w:hanging="360"/>
      </w:pPr>
      <w:rPr>
        <w:rFonts w:ascii="Symbol" w:hAnsi="Symbol" w:hint="default"/>
      </w:rPr>
    </w:lvl>
    <w:lvl w:ilvl="7" w:tplc="AE0A612C" w:tentative="1">
      <w:start w:val="1"/>
      <w:numFmt w:val="bullet"/>
      <w:lvlText w:val="o"/>
      <w:lvlJc w:val="left"/>
      <w:pPr>
        <w:tabs>
          <w:tab w:val="num" w:pos="5760"/>
        </w:tabs>
        <w:ind w:left="5760" w:hanging="360"/>
      </w:pPr>
      <w:rPr>
        <w:rFonts w:ascii="Courier New" w:hAnsi="Courier New" w:cs="Courier New" w:hint="default"/>
      </w:rPr>
    </w:lvl>
    <w:lvl w:ilvl="8" w:tplc="58506320"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AFB6F95"/>
    <w:multiLevelType w:val="multilevel"/>
    <w:tmpl w:val="4C2CCA0E"/>
    <w:lvl w:ilvl="0">
      <w:start w:val="1"/>
      <w:numFmt w:val="bullet"/>
      <w:lvlText w:val=""/>
      <w:lvlJc w:val="left"/>
      <w:pPr>
        <w:tabs>
          <w:tab w:val="num" w:pos="360"/>
        </w:tabs>
        <w:ind w:left="360" w:hanging="360"/>
      </w:pPr>
      <w:rPr>
        <w:rFonts w:ascii="Wingdings" w:hAnsi="Wingdings" w:hint="default"/>
        <w:color w:val="C6006F"/>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BF9069B"/>
    <w:multiLevelType w:val="hybridMultilevel"/>
    <w:tmpl w:val="2FD6B124"/>
    <w:lvl w:ilvl="0" w:tplc="F2121D98">
      <w:start w:val="1"/>
      <w:numFmt w:val="bullet"/>
      <w:lvlText w:val=""/>
      <w:lvlJc w:val="left"/>
      <w:pPr>
        <w:tabs>
          <w:tab w:val="num" w:pos="720"/>
        </w:tabs>
        <w:ind w:left="720" w:hanging="360"/>
      </w:pPr>
      <w:rPr>
        <w:rFonts w:ascii="Symbol" w:hAnsi="Symbol" w:hint="default"/>
      </w:rPr>
    </w:lvl>
    <w:lvl w:ilvl="1" w:tplc="9E689808" w:tentative="1">
      <w:start w:val="1"/>
      <w:numFmt w:val="bullet"/>
      <w:lvlText w:val="o"/>
      <w:lvlJc w:val="left"/>
      <w:pPr>
        <w:tabs>
          <w:tab w:val="num" w:pos="1440"/>
        </w:tabs>
        <w:ind w:left="1440" w:hanging="360"/>
      </w:pPr>
      <w:rPr>
        <w:rFonts w:ascii="Courier New" w:hAnsi="Courier New" w:cs="Courier New" w:hint="default"/>
      </w:rPr>
    </w:lvl>
    <w:lvl w:ilvl="2" w:tplc="E8D241D8" w:tentative="1">
      <w:start w:val="1"/>
      <w:numFmt w:val="bullet"/>
      <w:lvlText w:val=""/>
      <w:lvlJc w:val="left"/>
      <w:pPr>
        <w:tabs>
          <w:tab w:val="num" w:pos="2160"/>
        </w:tabs>
        <w:ind w:left="2160" w:hanging="360"/>
      </w:pPr>
      <w:rPr>
        <w:rFonts w:ascii="Wingdings" w:hAnsi="Wingdings" w:hint="default"/>
      </w:rPr>
    </w:lvl>
    <w:lvl w:ilvl="3" w:tplc="8362DB76" w:tentative="1">
      <w:start w:val="1"/>
      <w:numFmt w:val="bullet"/>
      <w:lvlText w:val=""/>
      <w:lvlJc w:val="left"/>
      <w:pPr>
        <w:tabs>
          <w:tab w:val="num" w:pos="2880"/>
        </w:tabs>
        <w:ind w:left="2880" w:hanging="360"/>
      </w:pPr>
      <w:rPr>
        <w:rFonts w:ascii="Symbol" w:hAnsi="Symbol" w:hint="default"/>
      </w:rPr>
    </w:lvl>
    <w:lvl w:ilvl="4" w:tplc="B5CE2EE6" w:tentative="1">
      <w:start w:val="1"/>
      <w:numFmt w:val="bullet"/>
      <w:lvlText w:val="o"/>
      <w:lvlJc w:val="left"/>
      <w:pPr>
        <w:tabs>
          <w:tab w:val="num" w:pos="3600"/>
        </w:tabs>
        <w:ind w:left="3600" w:hanging="360"/>
      </w:pPr>
      <w:rPr>
        <w:rFonts w:ascii="Courier New" w:hAnsi="Courier New" w:cs="Courier New" w:hint="default"/>
      </w:rPr>
    </w:lvl>
    <w:lvl w:ilvl="5" w:tplc="824AE806" w:tentative="1">
      <w:start w:val="1"/>
      <w:numFmt w:val="bullet"/>
      <w:lvlText w:val=""/>
      <w:lvlJc w:val="left"/>
      <w:pPr>
        <w:tabs>
          <w:tab w:val="num" w:pos="4320"/>
        </w:tabs>
        <w:ind w:left="4320" w:hanging="360"/>
      </w:pPr>
      <w:rPr>
        <w:rFonts w:ascii="Wingdings" w:hAnsi="Wingdings" w:hint="default"/>
      </w:rPr>
    </w:lvl>
    <w:lvl w:ilvl="6" w:tplc="E4F2A4C0" w:tentative="1">
      <w:start w:val="1"/>
      <w:numFmt w:val="bullet"/>
      <w:lvlText w:val=""/>
      <w:lvlJc w:val="left"/>
      <w:pPr>
        <w:tabs>
          <w:tab w:val="num" w:pos="5040"/>
        </w:tabs>
        <w:ind w:left="5040" w:hanging="360"/>
      </w:pPr>
      <w:rPr>
        <w:rFonts w:ascii="Symbol" w:hAnsi="Symbol" w:hint="default"/>
      </w:rPr>
    </w:lvl>
    <w:lvl w:ilvl="7" w:tplc="D29EA918" w:tentative="1">
      <w:start w:val="1"/>
      <w:numFmt w:val="bullet"/>
      <w:lvlText w:val="o"/>
      <w:lvlJc w:val="left"/>
      <w:pPr>
        <w:tabs>
          <w:tab w:val="num" w:pos="5760"/>
        </w:tabs>
        <w:ind w:left="5760" w:hanging="360"/>
      </w:pPr>
      <w:rPr>
        <w:rFonts w:ascii="Courier New" w:hAnsi="Courier New" w:cs="Courier New" w:hint="default"/>
      </w:rPr>
    </w:lvl>
    <w:lvl w:ilvl="8" w:tplc="A516E1DC"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C030E70"/>
    <w:multiLevelType w:val="hybridMultilevel"/>
    <w:tmpl w:val="3502DDA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02B73B1"/>
    <w:multiLevelType w:val="hybridMultilevel"/>
    <w:tmpl w:val="47E0A896"/>
    <w:lvl w:ilvl="0" w:tplc="D4C4123A">
      <w:start w:val="1"/>
      <w:numFmt w:val="bullet"/>
      <w:lvlText w:val=""/>
      <w:lvlJc w:val="left"/>
      <w:pPr>
        <w:tabs>
          <w:tab w:val="num" w:pos="360"/>
        </w:tabs>
        <w:ind w:left="360" w:hanging="360"/>
      </w:pPr>
      <w:rPr>
        <w:rFonts w:ascii="Wingdings" w:hAnsi="Wingdings" w:hint="default"/>
      </w:rPr>
    </w:lvl>
    <w:lvl w:ilvl="1" w:tplc="8A765A76" w:tentative="1">
      <w:start w:val="1"/>
      <w:numFmt w:val="bullet"/>
      <w:lvlText w:val="o"/>
      <w:lvlJc w:val="left"/>
      <w:pPr>
        <w:tabs>
          <w:tab w:val="num" w:pos="1440"/>
        </w:tabs>
        <w:ind w:left="1440" w:hanging="360"/>
      </w:pPr>
      <w:rPr>
        <w:rFonts w:ascii="Courier New" w:hAnsi="Courier New" w:cs="Courier New" w:hint="default"/>
      </w:rPr>
    </w:lvl>
    <w:lvl w:ilvl="2" w:tplc="FBAC95DE" w:tentative="1">
      <w:start w:val="1"/>
      <w:numFmt w:val="bullet"/>
      <w:lvlText w:val=""/>
      <w:lvlJc w:val="left"/>
      <w:pPr>
        <w:tabs>
          <w:tab w:val="num" w:pos="2160"/>
        </w:tabs>
        <w:ind w:left="2160" w:hanging="360"/>
      </w:pPr>
      <w:rPr>
        <w:rFonts w:ascii="Wingdings" w:hAnsi="Wingdings" w:hint="default"/>
      </w:rPr>
    </w:lvl>
    <w:lvl w:ilvl="3" w:tplc="102608CC" w:tentative="1">
      <w:start w:val="1"/>
      <w:numFmt w:val="bullet"/>
      <w:lvlText w:val=""/>
      <w:lvlJc w:val="left"/>
      <w:pPr>
        <w:tabs>
          <w:tab w:val="num" w:pos="2880"/>
        </w:tabs>
        <w:ind w:left="2880" w:hanging="360"/>
      </w:pPr>
      <w:rPr>
        <w:rFonts w:ascii="Symbol" w:hAnsi="Symbol" w:hint="default"/>
      </w:rPr>
    </w:lvl>
    <w:lvl w:ilvl="4" w:tplc="BEB47EDA" w:tentative="1">
      <w:start w:val="1"/>
      <w:numFmt w:val="bullet"/>
      <w:lvlText w:val="o"/>
      <w:lvlJc w:val="left"/>
      <w:pPr>
        <w:tabs>
          <w:tab w:val="num" w:pos="3600"/>
        </w:tabs>
        <w:ind w:left="3600" w:hanging="360"/>
      </w:pPr>
      <w:rPr>
        <w:rFonts w:ascii="Courier New" w:hAnsi="Courier New" w:cs="Courier New" w:hint="default"/>
      </w:rPr>
    </w:lvl>
    <w:lvl w:ilvl="5" w:tplc="F356BAF6" w:tentative="1">
      <w:start w:val="1"/>
      <w:numFmt w:val="bullet"/>
      <w:lvlText w:val=""/>
      <w:lvlJc w:val="left"/>
      <w:pPr>
        <w:tabs>
          <w:tab w:val="num" w:pos="4320"/>
        </w:tabs>
        <w:ind w:left="4320" w:hanging="360"/>
      </w:pPr>
      <w:rPr>
        <w:rFonts w:ascii="Wingdings" w:hAnsi="Wingdings" w:hint="default"/>
      </w:rPr>
    </w:lvl>
    <w:lvl w:ilvl="6" w:tplc="EF424DA6" w:tentative="1">
      <w:start w:val="1"/>
      <w:numFmt w:val="bullet"/>
      <w:lvlText w:val=""/>
      <w:lvlJc w:val="left"/>
      <w:pPr>
        <w:tabs>
          <w:tab w:val="num" w:pos="5040"/>
        </w:tabs>
        <w:ind w:left="5040" w:hanging="360"/>
      </w:pPr>
      <w:rPr>
        <w:rFonts w:ascii="Symbol" w:hAnsi="Symbol" w:hint="default"/>
      </w:rPr>
    </w:lvl>
    <w:lvl w:ilvl="7" w:tplc="2F38D364" w:tentative="1">
      <w:start w:val="1"/>
      <w:numFmt w:val="bullet"/>
      <w:lvlText w:val="o"/>
      <w:lvlJc w:val="left"/>
      <w:pPr>
        <w:tabs>
          <w:tab w:val="num" w:pos="5760"/>
        </w:tabs>
        <w:ind w:left="5760" w:hanging="360"/>
      </w:pPr>
      <w:rPr>
        <w:rFonts w:ascii="Courier New" w:hAnsi="Courier New" w:cs="Courier New" w:hint="default"/>
      </w:rPr>
    </w:lvl>
    <w:lvl w:ilvl="8" w:tplc="26A03ED2"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72255496"/>
    <w:multiLevelType w:val="hybridMultilevel"/>
    <w:tmpl w:val="5A6C4146"/>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num w:numId="1">
    <w:abstractNumId w:val="13"/>
  </w:num>
  <w:num w:numId="2">
    <w:abstractNumId w:val="12"/>
  </w:num>
  <w:num w:numId="3">
    <w:abstractNumId w:val="25"/>
  </w:num>
  <w:num w:numId="4">
    <w:abstractNumId w:val="19"/>
  </w:num>
  <w:num w:numId="5">
    <w:abstractNumId w:val="1"/>
  </w:num>
  <w:num w:numId="6">
    <w:abstractNumId w:val="27"/>
  </w:num>
  <w:num w:numId="7">
    <w:abstractNumId w:val="6"/>
  </w:num>
  <w:num w:numId="8">
    <w:abstractNumId w:val="7"/>
  </w:num>
  <w:num w:numId="9">
    <w:abstractNumId w:val="4"/>
  </w:num>
  <w:num w:numId="10">
    <w:abstractNumId w:val="23"/>
  </w:num>
  <w:num w:numId="11">
    <w:abstractNumId w:val="14"/>
  </w:num>
  <w:num w:numId="12">
    <w:abstractNumId w:val="17"/>
  </w:num>
  <w:num w:numId="13">
    <w:abstractNumId w:val="18"/>
  </w:num>
  <w:num w:numId="14">
    <w:abstractNumId w:val="5"/>
  </w:num>
  <w:num w:numId="15">
    <w:abstractNumId w:val="24"/>
  </w:num>
  <w:num w:numId="16">
    <w:abstractNumId w:val="26"/>
  </w:num>
  <w:num w:numId="17">
    <w:abstractNumId w:val="9"/>
  </w:num>
  <w:num w:numId="18">
    <w:abstractNumId w:val="15"/>
  </w:num>
  <w:num w:numId="19">
    <w:abstractNumId w:val="2"/>
  </w:num>
  <w:num w:numId="20">
    <w:abstractNumId w:val="21"/>
  </w:num>
  <w:num w:numId="21">
    <w:abstractNumId w:val="10"/>
  </w:num>
  <w:num w:numId="22">
    <w:abstractNumId w:val="22"/>
  </w:num>
  <w:num w:numId="23">
    <w:abstractNumId w:val="16"/>
  </w:num>
  <w:num w:numId="24">
    <w:abstractNumId w:val="28"/>
  </w:num>
  <w:num w:numId="25">
    <w:abstractNumId w:val="8"/>
  </w:num>
  <w:num w:numId="26">
    <w:abstractNumId w:val="0"/>
  </w:num>
  <w:num w:numId="27">
    <w:abstractNumId w:val="3"/>
  </w:num>
  <w:num w:numId="28">
    <w:abstractNumId w:val="20"/>
  </w:num>
  <w:num w:numId="29">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720"/>
  <w:drawingGridHorizontalSpacing w:val="110"/>
  <w:displayHorizontalDrawingGridEvery w:val="0"/>
  <w:displayVerticalDrawingGridEvery w:val="0"/>
  <w:noPunctuationKerning/>
  <w:characterSpacingControl w:val="doNotCompress"/>
  <w:hdrShapeDefaults>
    <o:shapedefaults v:ext="edit" spidmax="206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0868"/>
    <w:rsid w:val="000005EA"/>
    <w:rsid w:val="00005773"/>
    <w:rsid w:val="00011AEB"/>
    <w:rsid w:val="00012246"/>
    <w:rsid w:val="00016B4D"/>
    <w:rsid w:val="00017FA2"/>
    <w:rsid w:val="0002324C"/>
    <w:rsid w:val="00025D05"/>
    <w:rsid w:val="00026DC7"/>
    <w:rsid w:val="0002721A"/>
    <w:rsid w:val="000278EC"/>
    <w:rsid w:val="00027D1E"/>
    <w:rsid w:val="0003041A"/>
    <w:rsid w:val="000312D4"/>
    <w:rsid w:val="00034E68"/>
    <w:rsid w:val="000355B8"/>
    <w:rsid w:val="000379DF"/>
    <w:rsid w:val="0004334B"/>
    <w:rsid w:val="00046419"/>
    <w:rsid w:val="00047A73"/>
    <w:rsid w:val="00050B64"/>
    <w:rsid w:val="0005509E"/>
    <w:rsid w:val="000556BA"/>
    <w:rsid w:val="00057288"/>
    <w:rsid w:val="00060F78"/>
    <w:rsid w:val="00062980"/>
    <w:rsid w:val="00064EC9"/>
    <w:rsid w:val="000655C9"/>
    <w:rsid w:val="0006792A"/>
    <w:rsid w:val="0007259B"/>
    <w:rsid w:val="00073200"/>
    <w:rsid w:val="00077E3B"/>
    <w:rsid w:val="0009471A"/>
    <w:rsid w:val="00094FE0"/>
    <w:rsid w:val="000951FA"/>
    <w:rsid w:val="00097189"/>
    <w:rsid w:val="000A61C7"/>
    <w:rsid w:val="000B6830"/>
    <w:rsid w:val="000B68B0"/>
    <w:rsid w:val="000B69D7"/>
    <w:rsid w:val="000C050E"/>
    <w:rsid w:val="000C3265"/>
    <w:rsid w:val="000C51BE"/>
    <w:rsid w:val="000D7926"/>
    <w:rsid w:val="000D7FC6"/>
    <w:rsid w:val="000E7660"/>
    <w:rsid w:val="000F22E9"/>
    <w:rsid w:val="000F3761"/>
    <w:rsid w:val="00100A66"/>
    <w:rsid w:val="001035E8"/>
    <w:rsid w:val="001041B1"/>
    <w:rsid w:val="001045BC"/>
    <w:rsid w:val="00111B13"/>
    <w:rsid w:val="00114A9B"/>
    <w:rsid w:val="00116BB8"/>
    <w:rsid w:val="00116F1A"/>
    <w:rsid w:val="00123F0F"/>
    <w:rsid w:val="00125A23"/>
    <w:rsid w:val="00125CF3"/>
    <w:rsid w:val="00130777"/>
    <w:rsid w:val="0013216A"/>
    <w:rsid w:val="0013297A"/>
    <w:rsid w:val="00132B5D"/>
    <w:rsid w:val="00142A5A"/>
    <w:rsid w:val="001437D7"/>
    <w:rsid w:val="00153CF3"/>
    <w:rsid w:val="00154224"/>
    <w:rsid w:val="00155571"/>
    <w:rsid w:val="00155CE7"/>
    <w:rsid w:val="00155EA1"/>
    <w:rsid w:val="00160F47"/>
    <w:rsid w:val="00162C77"/>
    <w:rsid w:val="00162E1A"/>
    <w:rsid w:val="0016551D"/>
    <w:rsid w:val="00167431"/>
    <w:rsid w:val="001714BC"/>
    <w:rsid w:val="0017164C"/>
    <w:rsid w:val="00171CED"/>
    <w:rsid w:val="001733EA"/>
    <w:rsid w:val="001827A2"/>
    <w:rsid w:val="00183B77"/>
    <w:rsid w:val="00195CE3"/>
    <w:rsid w:val="0019629D"/>
    <w:rsid w:val="001A3FCB"/>
    <w:rsid w:val="001B737A"/>
    <w:rsid w:val="001C253B"/>
    <w:rsid w:val="001C260D"/>
    <w:rsid w:val="001C3021"/>
    <w:rsid w:val="001C5318"/>
    <w:rsid w:val="001C6207"/>
    <w:rsid w:val="001C6616"/>
    <w:rsid w:val="001C7398"/>
    <w:rsid w:val="001D08D8"/>
    <w:rsid w:val="001D0B68"/>
    <w:rsid w:val="001D1184"/>
    <w:rsid w:val="001D217F"/>
    <w:rsid w:val="001D409F"/>
    <w:rsid w:val="001D4E0F"/>
    <w:rsid w:val="001D634D"/>
    <w:rsid w:val="001E072F"/>
    <w:rsid w:val="001E493A"/>
    <w:rsid w:val="001E6D74"/>
    <w:rsid w:val="001F31E2"/>
    <w:rsid w:val="00203FBB"/>
    <w:rsid w:val="00204A71"/>
    <w:rsid w:val="0020612F"/>
    <w:rsid w:val="00206460"/>
    <w:rsid w:val="00206DFF"/>
    <w:rsid w:val="00207DC4"/>
    <w:rsid w:val="002114F2"/>
    <w:rsid w:val="00214197"/>
    <w:rsid w:val="00221613"/>
    <w:rsid w:val="002246A7"/>
    <w:rsid w:val="00225AD3"/>
    <w:rsid w:val="00232AFC"/>
    <w:rsid w:val="002335B1"/>
    <w:rsid w:val="0023478F"/>
    <w:rsid w:val="00235428"/>
    <w:rsid w:val="002374C9"/>
    <w:rsid w:val="002415B5"/>
    <w:rsid w:val="00243AA8"/>
    <w:rsid w:val="00247A55"/>
    <w:rsid w:val="00251133"/>
    <w:rsid w:val="00253BC6"/>
    <w:rsid w:val="00254937"/>
    <w:rsid w:val="00261ED1"/>
    <w:rsid w:val="002634DA"/>
    <w:rsid w:val="00267168"/>
    <w:rsid w:val="0026723A"/>
    <w:rsid w:val="0027357F"/>
    <w:rsid w:val="00276C4A"/>
    <w:rsid w:val="00277751"/>
    <w:rsid w:val="00283D4F"/>
    <w:rsid w:val="00285515"/>
    <w:rsid w:val="00290BB7"/>
    <w:rsid w:val="00292053"/>
    <w:rsid w:val="00297C4D"/>
    <w:rsid w:val="002A0B7A"/>
    <w:rsid w:val="002A13F7"/>
    <w:rsid w:val="002A2F72"/>
    <w:rsid w:val="002A4190"/>
    <w:rsid w:val="002A5094"/>
    <w:rsid w:val="002A5554"/>
    <w:rsid w:val="002B4C1B"/>
    <w:rsid w:val="002B5EBB"/>
    <w:rsid w:val="002B72AB"/>
    <w:rsid w:val="002B795C"/>
    <w:rsid w:val="002C5185"/>
    <w:rsid w:val="002C55B4"/>
    <w:rsid w:val="002C5B5D"/>
    <w:rsid w:val="002C6BC0"/>
    <w:rsid w:val="002D0BC0"/>
    <w:rsid w:val="002E0088"/>
    <w:rsid w:val="002E551C"/>
    <w:rsid w:val="002E78BF"/>
    <w:rsid w:val="002F104D"/>
    <w:rsid w:val="002F37CF"/>
    <w:rsid w:val="002F6E25"/>
    <w:rsid w:val="00300F20"/>
    <w:rsid w:val="003072C9"/>
    <w:rsid w:val="00313200"/>
    <w:rsid w:val="00314D20"/>
    <w:rsid w:val="003170E1"/>
    <w:rsid w:val="00321178"/>
    <w:rsid w:val="003211AA"/>
    <w:rsid w:val="00322684"/>
    <w:rsid w:val="00322E90"/>
    <w:rsid w:val="003231D2"/>
    <w:rsid w:val="00323697"/>
    <w:rsid w:val="00323A9E"/>
    <w:rsid w:val="00324B63"/>
    <w:rsid w:val="00327BB1"/>
    <w:rsid w:val="003304F5"/>
    <w:rsid w:val="0033108E"/>
    <w:rsid w:val="00332C86"/>
    <w:rsid w:val="00336782"/>
    <w:rsid w:val="003377BC"/>
    <w:rsid w:val="00337D94"/>
    <w:rsid w:val="00340338"/>
    <w:rsid w:val="0034188C"/>
    <w:rsid w:val="0034227C"/>
    <w:rsid w:val="003512EB"/>
    <w:rsid w:val="00351A53"/>
    <w:rsid w:val="00354A9B"/>
    <w:rsid w:val="0035624E"/>
    <w:rsid w:val="00364384"/>
    <w:rsid w:val="003700B5"/>
    <w:rsid w:val="00372882"/>
    <w:rsid w:val="00375784"/>
    <w:rsid w:val="00383311"/>
    <w:rsid w:val="00383540"/>
    <w:rsid w:val="00384811"/>
    <w:rsid w:val="003877C6"/>
    <w:rsid w:val="00392967"/>
    <w:rsid w:val="003A2381"/>
    <w:rsid w:val="003A4C23"/>
    <w:rsid w:val="003B1786"/>
    <w:rsid w:val="003B22AA"/>
    <w:rsid w:val="003B2CEF"/>
    <w:rsid w:val="003B6846"/>
    <w:rsid w:val="003B71B7"/>
    <w:rsid w:val="003B7B95"/>
    <w:rsid w:val="003C579A"/>
    <w:rsid w:val="003C5E7A"/>
    <w:rsid w:val="003C7578"/>
    <w:rsid w:val="003D31F7"/>
    <w:rsid w:val="003D4AE4"/>
    <w:rsid w:val="003E0864"/>
    <w:rsid w:val="003E2961"/>
    <w:rsid w:val="003E6091"/>
    <w:rsid w:val="003E7176"/>
    <w:rsid w:val="003F50AD"/>
    <w:rsid w:val="003F6BC2"/>
    <w:rsid w:val="0041247F"/>
    <w:rsid w:val="00414737"/>
    <w:rsid w:val="0041551D"/>
    <w:rsid w:val="00422B03"/>
    <w:rsid w:val="00424CAF"/>
    <w:rsid w:val="00425BC8"/>
    <w:rsid w:val="004300C6"/>
    <w:rsid w:val="004306E6"/>
    <w:rsid w:val="00433721"/>
    <w:rsid w:val="00440699"/>
    <w:rsid w:val="00442DE3"/>
    <w:rsid w:val="00443646"/>
    <w:rsid w:val="00443927"/>
    <w:rsid w:val="00446E2C"/>
    <w:rsid w:val="004472B1"/>
    <w:rsid w:val="004476B8"/>
    <w:rsid w:val="00450800"/>
    <w:rsid w:val="0045237A"/>
    <w:rsid w:val="00456E41"/>
    <w:rsid w:val="00457E2B"/>
    <w:rsid w:val="00460A7B"/>
    <w:rsid w:val="00460E46"/>
    <w:rsid w:val="00462E35"/>
    <w:rsid w:val="00470026"/>
    <w:rsid w:val="004705D8"/>
    <w:rsid w:val="004754F0"/>
    <w:rsid w:val="00485E9A"/>
    <w:rsid w:val="0048724C"/>
    <w:rsid w:val="00494A8D"/>
    <w:rsid w:val="00495716"/>
    <w:rsid w:val="00495B3C"/>
    <w:rsid w:val="00495C41"/>
    <w:rsid w:val="004A092B"/>
    <w:rsid w:val="004A630B"/>
    <w:rsid w:val="004A7C66"/>
    <w:rsid w:val="004B5A2C"/>
    <w:rsid w:val="004C4763"/>
    <w:rsid w:val="004D130F"/>
    <w:rsid w:val="004D2442"/>
    <w:rsid w:val="004D5CB9"/>
    <w:rsid w:val="004D7881"/>
    <w:rsid w:val="004E1013"/>
    <w:rsid w:val="00500497"/>
    <w:rsid w:val="00500D67"/>
    <w:rsid w:val="00502FC1"/>
    <w:rsid w:val="00503989"/>
    <w:rsid w:val="005041B1"/>
    <w:rsid w:val="00507397"/>
    <w:rsid w:val="00511690"/>
    <w:rsid w:val="00512000"/>
    <w:rsid w:val="00512436"/>
    <w:rsid w:val="00513A2E"/>
    <w:rsid w:val="00514438"/>
    <w:rsid w:val="005216A7"/>
    <w:rsid w:val="005232F9"/>
    <w:rsid w:val="005239BB"/>
    <w:rsid w:val="005245A5"/>
    <w:rsid w:val="00524987"/>
    <w:rsid w:val="005301CC"/>
    <w:rsid w:val="00530CDB"/>
    <w:rsid w:val="00531C24"/>
    <w:rsid w:val="00532CF2"/>
    <w:rsid w:val="00534B85"/>
    <w:rsid w:val="005407B8"/>
    <w:rsid w:val="0055019E"/>
    <w:rsid w:val="00553D0F"/>
    <w:rsid w:val="00557B91"/>
    <w:rsid w:val="005641FA"/>
    <w:rsid w:val="005727A5"/>
    <w:rsid w:val="0057543C"/>
    <w:rsid w:val="00581445"/>
    <w:rsid w:val="005816B7"/>
    <w:rsid w:val="00584342"/>
    <w:rsid w:val="00586625"/>
    <w:rsid w:val="0059208D"/>
    <w:rsid w:val="00593E94"/>
    <w:rsid w:val="005946AB"/>
    <w:rsid w:val="0059541A"/>
    <w:rsid w:val="005A1C02"/>
    <w:rsid w:val="005A2FF7"/>
    <w:rsid w:val="005A3987"/>
    <w:rsid w:val="005A55AC"/>
    <w:rsid w:val="005A763E"/>
    <w:rsid w:val="005A77B7"/>
    <w:rsid w:val="005A7D9C"/>
    <w:rsid w:val="005B5255"/>
    <w:rsid w:val="005B6E11"/>
    <w:rsid w:val="005C6BF2"/>
    <w:rsid w:val="005C7639"/>
    <w:rsid w:val="005D0DFC"/>
    <w:rsid w:val="005D25BF"/>
    <w:rsid w:val="005D5AA2"/>
    <w:rsid w:val="005D6584"/>
    <w:rsid w:val="005D7ADC"/>
    <w:rsid w:val="005E0992"/>
    <w:rsid w:val="005E5CC0"/>
    <w:rsid w:val="005E60DC"/>
    <w:rsid w:val="005F33ED"/>
    <w:rsid w:val="005F373A"/>
    <w:rsid w:val="005F54F1"/>
    <w:rsid w:val="005F7C93"/>
    <w:rsid w:val="00600384"/>
    <w:rsid w:val="006038B6"/>
    <w:rsid w:val="0060421E"/>
    <w:rsid w:val="00604D74"/>
    <w:rsid w:val="00610D61"/>
    <w:rsid w:val="00612B16"/>
    <w:rsid w:val="00614E7E"/>
    <w:rsid w:val="006154B4"/>
    <w:rsid w:val="00615674"/>
    <w:rsid w:val="00615FBF"/>
    <w:rsid w:val="006169ED"/>
    <w:rsid w:val="00617AFE"/>
    <w:rsid w:val="006200A2"/>
    <w:rsid w:val="00625393"/>
    <w:rsid w:val="0062639B"/>
    <w:rsid w:val="00627551"/>
    <w:rsid w:val="0063020B"/>
    <w:rsid w:val="00634C11"/>
    <w:rsid w:val="0063695C"/>
    <w:rsid w:val="00641983"/>
    <w:rsid w:val="00642007"/>
    <w:rsid w:val="00645A63"/>
    <w:rsid w:val="006462AC"/>
    <w:rsid w:val="0064722C"/>
    <w:rsid w:val="00647CEF"/>
    <w:rsid w:val="0065317B"/>
    <w:rsid w:val="00656A06"/>
    <w:rsid w:val="00674594"/>
    <w:rsid w:val="00677D84"/>
    <w:rsid w:val="00677E54"/>
    <w:rsid w:val="00680BF4"/>
    <w:rsid w:val="00681340"/>
    <w:rsid w:val="00681B62"/>
    <w:rsid w:val="0068453E"/>
    <w:rsid w:val="00685D84"/>
    <w:rsid w:val="006870FA"/>
    <w:rsid w:val="006875E1"/>
    <w:rsid w:val="006909EF"/>
    <w:rsid w:val="00690CD3"/>
    <w:rsid w:val="00695ACE"/>
    <w:rsid w:val="006A04BF"/>
    <w:rsid w:val="006A0B0A"/>
    <w:rsid w:val="006A28AB"/>
    <w:rsid w:val="006A4E9F"/>
    <w:rsid w:val="006A5136"/>
    <w:rsid w:val="006C2001"/>
    <w:rsid w:val="006C330D"/>
    <w:rsid w:val="006C6EA8"/>
    <w:rsid w:val="006D2024"/>
    <w:rsid w:val="006D2ABC"/>
    <w:rsid w:val="006D3419"/>
    <w:rsid w:val="006D5D22"/>
    <w:rsid w:val="006D643C"/>
    <w:rsid w:val="006E0F9C"/>
    <w:rsid w:val="006E771C"/>
    <w:rsid w:val="006F203B"/>
    <w:rsid w:val="00701437"/>
    <w:rsid w:val="00702BBE"/>
    <w:rsid w:val="00702D2D"/>
    <w:rsid w:val="007041C3"/>
    <w:rsid w:val="0071062E"/>
    <w:rsid w:val="00713940"/>
    <w:rsid w:val="00721988"/>
    <w:rsid w:val="007379D5"/>
    <w:rsid w:val="00745C3C"/>
    <w:rsid w:val="00757645"/>
    <w:rsid w:val="00761D2F"/>
    <w:rsid w:val="007672E7"/>
    <w:rsid w:val="007723FD"/>
    <w:rsid w:val="007729A4"/>
    <w:rsid w:val="00772C86"/>
    <w:rsid w:val="007753AC"/>
    <w:rsid w:val="00782BBF"/>
    <w:rsid w:val="00786C51"/>
    <w:rsid w:val="00792C99"/>
    <w:rsid w:val="00792EF7"/>
    <w:rsid w:val="00792FC8"/>
    <w:rsid w:val="0079333E"/>
    <w:rsid w:val="0079383F"/>
    <w:rsid w:val="00794601"/>
    <w:rsid w:val="0079716B"/>
    <w:rsid w:val="00797A20"/>
    <w:rsid w:val="00797BEE"/>
    <w:rsid w:val="007A6CEB"/>
    <w:rsid w:val="007B6B79"/>
    <w:rsid w:val="007C1A5F"/>
    <w:rsid w:val="007C2D0D"/>
    <w:rsid w:val="007C2E0E"/>
    <w:rsid w:val="007C5854"/>
    <w:rsid w:val="007D1FF8"/>
    <w:rsid w:val="007D2767"/>
    <w:rsid w:val="007D39E7"/>
    <w:rsid w:val="007D4455"/>
    <w:rsid w:val="007E0674"/>
    <w:rsid w:val="007E2C7B"/>
    <w:rsid w:val="007E3F1C"/>
    <w:rsid w:val="007E3F40"/>
    <w:rsid w:val="007E66C1"/>
    <w:rsid w:val="007E6A2E"/>
    <w:rsid w:val="007F248D"/>
    <w:rsid w:val="007F5C45"/>
    <w:rsid w:val="008006DA"/>
    <w:rsid w:val="00813A06"/>
    <w:rsid w:val="00816DD8"/>
    <w:rsid w:val="00820C5B"/>
    <w:rsid w:val="008250B6"/>
    <w:rsid w:val="00825B5C"/>
    <w:rsid w:val="00827E80"/>
    <w:rsid w:val="00832646"/>
    <w:rsid w:val="00833007"/>
    <w:rsid w:val="00833E37"/>
    <w:rsid w:val="00837132"/>
    <w:rsid w:val="00837367"/>
    <w:rsid w:val="00844C27"/>
    <w:rsid w:val="00847899"/>
    <w:rsid w:val="00854324"/>
    <w:rsid w:val="00855F61"/>
    <w:rsid w:val="00860257"/>
    <w:rsid w:val="00861296"/>
    <w:rsid w:val="00873816"/>
    <w:rsid w:val="008749F1"/>
    <w:rsid w:val="00875C29"/>
    <w:rsid w:val="00876018"/>
    <w:rsid w:val="0087718A"/>
    <w:rsid w:val="00886FC8"/>
    <w:rsid w:val="00887EC7"/>
    <w:rsid w:val="00891998"/>
    <w:rsid w:val="00892D67"/>
    <w:rsid w:val="008A56FF"/>
    <w:rsid w:val="008A643B"/>
    <w:rsid w:val="008A69DA"/>
    <w:rsid w:val="008B13C4"/>
    <w:rsid w:val="008B15BB"/>
    <w:rsid w:val="008B2C32"/>
    <w:rsid w:val="008B544E"/>
    <w:rsid w:val="008C558A"/>
    <w:rsid w:val="008C58C9"/>
    <w:rsid w:val="008D362C"/>
    <w:rsid w:val="008D3E4B"/>
    <w:rsid w:val="008E2538"/>
    <w:rsid w:val="008E2C61"/>
    <w:rsid w:val="008E3FF1"/>
    <w:rsid w:val="008E727D"/>
    <w:rsid w:val="008E783C"/>
    <w:rsid w:val="008F0D3E"/>
    <w:rsid w:val="008F2059"/>
    <w:rsid w:val="008F3FFF"/>
    <w:rsid w:val="008F4EEB"/>
    <w:rsid w:val="008F5274"/>
    <w:rsid w:val="008F66C4"/>
    <w:rsid w:val="009011F3"/>
    <w:rsid w:val="009029EE"/>
    <w:rsid w:val="009029F8"/>
    <w:rsid w:val="00904554"/>
    <w:rsid w:val="00905FBB"/>
    <w:rsid w:val="00906235"/>
    <w:rsid w:val="0091309F"/>
    <w:rsid w:val="009165B6"/>
    <w:rsid w:val="009172EC"/>
    <w:rsid w:val="009214F8"/>
    <w:rsid w:val="00930438"/>
    <w:rsid w:val="00931865"/>
    <w:rsid w:val="00931AE0"/>
    <w:rsid w:val="0093326B"/>
    <w:rsid w:val="00935AE8"/>
    <w:rsid w:val="009370FF"/>
    <w:rsid w:val="0094645C"/>
    <w:rsid w:val="00947740"/>
    <w:rsid w:val="00957990"/>
    <w:rsid w:val="00960868"/>
    <w:rsid w:val="0096481D"/>
    <w:rsid w:val="009654BA"/>
    <w:rsid w:val="0097120A"/>
    <w:rsid w:val="00972F14"/>
    <w:rsid w:val="00977E6F"/>
    <w:rsid w:val="00981250"/>
    <w:rsid w:val="00982259"/>
    <w:rsid w:val="00982B76"/>
    <w:rsid w:val="0098518E"/>
    <w:rsid w:val="00987570"/>
    <w:rsid w:val="00990481"/>
    <w:rsid w:val="009972BE"/>
    <w:rsid w:val="00997844"/>
    <w:rsid w:val="00997A59"/>
    <w:rsid w:val="009A1163"/>
    <w:rsid w:val="009A2087"/>
    <w:rsid w:val="009A302F"/>
    <w:rsid w:val="009B017E"/>
    <w:rsid w:val="009B0D61"/>
    <w:rsid w:val="009B482C"/>
    <w:rsid w:val="009C416F"/>
    <w:rsid w:val="009C464D"/>
    <w:rsid w:val="009C546D"/>
    <w:rsid w:val="009C6DB4"/>
    <w:rsid w:val="009E17EE"/>
    <w:rsid w:val="009E1D92"/>
    <w:rsid w:val="009E3844"/>
    <w:rsid w:val="009E410C"/>
    <w:rsid w:val="009F3163"/>
    <w:rsid w:val="00A0023F"/>
    <w:rsid w:val="00A0423F"/>
    <w:rsid w:val="00A111A8"/>
    <w:rsid w:val="00A11E6C"/>
    <w:rsid w:val="00A131CD"/>
    <w:rsid w:val="00A17D5A"/>
    <w:rsid w:val="00A21BF1"/>
    <w:rsid w:val="00A241D5"/>
    <w:rsid w:val="00A256D5"/>
    <w:rsid w:val="00A269D9"/>
    <w:rsid w:val="00A26C01"/>
    <w:rsid w:val="00A30872"/>
    <w:rsid w:val="00A3239B"/>
    <w:rsid w:val="00A32AD5"/>
    <w:rsid w:val="00A4682E"/>
    <w:rsid w:val="00A5409F"/>
    <w:rsid w:val="00A5548D"/>
    <w:rsid w:val="00A57696"/>
    <w:rsid w:val="00A639D4"/>
    <w:rsid w:val="00A660A7"/>
    <w:rsid w:val="00A72B27"/>
    <w:rsid w:val="00A72D25"/>
    <w:rsid w:val="00A77459"/>
    <w:rsid w:val="00A809B2"/>
    <w:rsid w:val="00A82110"/>
    <w:rsid w:val="00A83EC3"/>
    <w:rsid w:val="00A85B72"/>
    <w:rsid w:val="00A917E7"/>
    <w:rsid w:val="00A95311"/>
    <w:rsid w:val="00AA1DBC"/>
    <w:rsid w:val="00AA2692"/>
    <w:rsid w:val="00AA5BAE"/>
    <w:rsid w:val="00AB3299"/>
    <w:rsid w:val="00AB40BE"/>
    <w:rsid w:val="00AC1922"/>
    <w:rsid w:val="00AC1E63"/>
    <w:rsid w:val="00AC2120"/>
    <w:rsid w:val="00AC5CDD"/>
    <w:rsid w:val="00AC6610"/>
    <w:rsid w:val="00AD13C0"/>
    <w:rsid w:val="00AD628C"/>
    <w:rsid w:val="00AD7A7A"/>
    <w:rsid w:val="00AE0F8D"/>
    <w:rsid w:val="00AF0074"/>
    <w:rsid w:val="00AF0775"/>
    <w:rsid w:val="00AF176E"/>
    <w:rsid w:val="00B00399"/>
    <w:rsid w:val="00B03C55"/>
    <w:rsid w:val="00B05E0B"/>
    <w:rsid w:val="00B10895"/>
    <w:rsid w:val="00B10BC5"/>
    <w:rsid w:val="00B11B86"/>
    <w:rsid w:val="00B15C6A"/>
    <w:rsid w:val="00B176AB"/>
    <w:rsid w:val="00B207A0"/>
    <w:rsid w:val="00B22199"/>
    <w:rsid w:val="00B25B92"/>
    <w:rsid w:val="00B277C7"/>
    <w:rsid w:val="00B3094E"/>
    <w:rsid w:val="00B329E5"/>
    <w:rsid w:val="00B33D70"/>
    <w:rsid w:val="00B371C3"/>
    <w:rsid w:val="00B37C66"/>
    <w:rsid w:val="00B407D4"/>
    <w:rsid w:val="00B41D44"/>
    <w:rsid w:val="00B5029E"/>
    <w:rsid w:val="00B50C7E"/>
    <w:rsid w:val="00B52598"/>
    <w:rsid w:val="00B54C5A"/>
    <w:rsid w:val="00B5580A"/>
    <w:rsid w:val="00B558DD"/>
    <w:rsid w:val="00B5646A"/>
    <w:rsid w:val="00B56D3E"/>
    <w:rsid w:val="00B61AFF"/>
    <w:rsid w:val="00B64FEC"/>
    <w:rsid w:val="00B65D70"/>
    <w:rsid w:val="00B66793"/>
    <w:rsid w:val="00B6746A"/>
    <w:rsid w:val="00B7158C"/>
    <w:rsid w:val="00B8338A"/>
    <w:rsid w:val="00B85D89"/>
    <w:rsid w:val="00B87AA0"/>
    <w:rsid w:val="00B946D3"/>
    <w:rsid w:val="00B94D6B"/>
    <w:rsid w:val="00B97512"/>
    <w:rsid w:val="00BA2FE1"/>
    <w:rsid w:val="00BA3C1F"/>
    <w:rsid w:val="00BA583E"/>
    <w:rsid w:val="00BA7898"/>
    <w:rsid w:val="00BA7A60"/>
    <w:rsid w:val="00BB02DE"/>
    <w:rsid w:val="00BB0C24"/>
    <w:rsid w:val="00BB18F5"/>
    <w:rsid w:val="00BB297F"/>
    <w:rsid w:val="00BC038A"/>
    <w:rsid w:val="00BC2D2C"/>
    <w:rsid w:val="00BC3274"/>
    <w:rsid w:val="00BC3482"/>
    <w:rsid w:val="00BD15FB"/>
    <w:rsid w:val="00BD57FB"/>
    <w:rsid w:val="00BD602A"/>
    <w:rsid w:val="00BD6FDA"/>
    <w:rsid w:val="00BE3B8C"/>
    <w:rsid w:val="00BE6C2C"/>
    <w:rsid w:val="00BF091D"/>
    <w:rsid w:val="00BF155C"/>
    <w:rsid w:val="00C01506"/>
    <w:rsid w:val="00C126BF"/>
    <w:rsid w:val="00C140E8"/>
    <w:rsid w:val="00C17689"/>
    <w:rsid w:val="00C20268"/>
    <w:rsid w:val="00C24171"/>
    <w:rsid w:val="00C25839"/>
    <w:rsid w:val="00C261A3"/>
    <w:rsid w:val="00C2796E"/>
    <w:rsid w:val="00C30BC4"/>
    <w:rsid w:val="00C30F88"/>
    <w:rsid w:val="00C41685"/>
    <w:rsid w:val="00C41C09"/>
    <w:rsid w:val="00C41D17"/>
    <w:rsid w:val="00C42D77"/>
    <w:rsid w:val="00C44091"/>
    <w:rsid w:val="00C45D33"/>
    <w:rsid w:val="00C518B0"/>
    <w:rsid w:val="00C52FAA"/>
    <w:rsid w:val="00C5453E"/>
    <w:rsid w:val="00C547E4"/>
    <w:rsid w:val="00C5631C"/>
    <w:rsid w:val="00C57CF9"/>
    <w:rsid w:val="00C606EB"/>
    <w:rsid w:val="00C61507"/>
    <w:rsid w:val="00C6226F"/>
    <w:rsid w:val="00C64137"/>
    <w:rsid w:val="00C64C53"/>
    <w:rsid w:val="00C6518A"/>
    <w:rsid w:val="00C65F2C"/>
    <w:rsid w:val="00C70ECF"/>
    <w:rsid w:val="00C721B2"/>
    <w:rsid w:val="00C76364"/>
    <w:rsid w:val="00C7656F"/>
    <w:rsid w:val="00C77537"/>
    <w:rsid w:val="00C8096F"/>
    <w:rsid w:val="00C844DD"/>
    <w:rsid w:val="00C85899"/>
    <w:rsid w:val="00C85C3E"/>
    <w:rsid w:val="00C8686F"/>
    <w:rsid w:val="00C871E8"/>
    <w:rsid w:val="00C94AFD"/>
    <w:rsid w:val="00CA0482"/>
    <w:rsid w:val="00CA0FCB"/>
    <w:rsid w:val="00CA4235"/>
    <w:rsid w:val="00CA5CE9"/>
    <w:rsid w:val="00CB163A"/>
    <w:rsid w:val="00CB5560"/>
    <w:rsid w:val="00CC2E8C"/>
    <w:rsid w:val="00CC3A99"/>
    <w:rsid w:val="00CC5352"/>
    <w:rsid w:val="00CC5B2B"/>
    <w:rsid w:val="00CD2209"/>
    <w:rsid w:val="00CD5551"/>
    <w:rsid w:val="00CD7860"/>
    <w:rsid w:val="00CF069D"/>
    <w:rsid w:val="00CF1319"/>
    <w:rsid w:val="00CF37B5"/>
    <w:rsid w:val="00CF4041"/>
    <w:rsid w:val="00CF5635"/>
    <w:rsid w:val="00D05634"/>
    <w:rsid w:val="00D05C83"/>
    <w:rsid w:val="00D06D29"/>
    <w:rsid w:val="00D246F7"/>
    <w:rsid w:val="00D26368"/>
    <w:rsid w:val="00D3431E"/>
    <w:rsid w:val="00D346AE"/>
    <w:rsid w:val="00D36D4E"/>
    <w:rsid w:val="00D37614"/>
    <w:rsid w:val="00D37686"/>
    <w:rsid w:val="00D40EB5"/>
    <w:rsid w:val="00D41BB3"/>
    <w:rsid w:val="00D4255C"/>
    <w:rsid w:val="00D44084"/>
    <w:rsid w:val="00D44CE4"/>
    <w:rsid w:val="00D450DC"/>
    <w:rsid w:val="00D45226"/>
    <w:rsid w:val="00D46BA2"/>
    <w:rsid w:val="00D50990"/>
    <w:rsid w:val="00D52047"/>
    <w:rsid w:val="00D64F4D"/>
    <w:rsid w:val="00D678D5"/>
    <w:rsid w:val="00D71D55"/>
    <w:rsid w:val="00D72A13"/>
    <w:rsid w:val="00D74B9F"/>
    <w:rsid w:val="00D75677"/>
    <w:rsid w:val="00D80353"/>
    <w:rsid w:val="00D8414C"/>
    <w:rsid w:val="00D94FF8"/>
    <w:rsid w:val="00DA4B0E"/>
    <w:rsid w:val="00DA5C9E"/>
    <w:rsid w:val="00DA6D8F"/>
    <w:rsid w:val="00DA7C26"/>
    <w:rsid w:val="00DB0BA3"/>
    <w:rsid w:val="00DB49EF"/>
    <w:rsid w:val="00DB4CED"/>
    <w:rsid w:val="00DB6705"/>
    <w:rsid w:val="00DB764A"/>
    <w:rsid w:val="00DC0A1A"/>
    <w:rsid w:val="00DC4DAB"/>
    <w:rsid w:val="00DC4F6B"/>
    <w:rsid w:val="00DC74F6"/>
    <w:rsid w:val="00DD190C"/>
    <w:rsid w:val="00DD6AAA"/>
    <w:rsid w:val="00DE4166"/>
    <w:rsid w:val="00DE4737"/>
    <w:rsid w:val="00DE56B5"/>
    <w:rsid w:val="00DE7601"/>
    <w:rsid w:val="00DF0ED3"/>
    <w:rsid w:val="00DF1355"/>
    <w:rsid w:val="00DF5DCB"/>
    <w:rsid w:val="00DF7F00"/>
    <w:rsid w:val="00E04248"/>
    <w:rsid w:val="00E20B35"/>
    <w:rsid w:val="00E245E2"/>
    <w:rsid w:val="00E30CDC"/>
    <w:rsid w:val="00E320E2"/>
    <w:rsid w:val="00E335E7"/>
    <w:rsid w:val="00E36FCF"/>
    <w:rsid w:val="00E37EE1"/>
    <w:rsid w:val="00E429A6"/>
    <w:rsid w:val="00E4506B"/>
    <w:rsid w:val="00E55060"/>
    <w:rsid w:val="00E600F0"/>
    <w:rsid w:val="00E6045E"/>
    <w:rsid w:val="00E606C9"/>
    <w:rsid w:val="00E616B5"/>
    <w:rsid w:val="00E61F67"/>
    <w:rsid w:val="00E66FDF"/>
    <w:rsid w:val="00E67869"/>
    <w:rsid w:val="00E73AA0"/>
    <w:rsid w:val="00E74021"/>
    <w:rsid w:val="00E7684A"/>
    <w:rsid w:val="00E77ABE"/>
    <w:rsid w:val="00E90E74"/>
    <w:rsid w:val="00E9483F"/>
    <w:rsid w:val="00E9555E"/>
    <w:rsid w:val="00E95628"/>
    <w:rsid w:val="00EA3A51"/>
    <w:rsid w:val="00EA628C"/>
    <w:rsid w:val="00EB03C3"/>
    <w:rsid w:val="00EB3DF2"/>
    <w:rsid w:val="00EB58A5"/>
    <w:rsid w:val="00EB60F4"/>
    <w:rsid w:val="00EC1648"/>
    <w:rsid w:val="00EC1E4D"/>
    <w:rsid w:val="00EC1FD3"/>
    <w:rsid w:val="00EC5543"/>
    <w:rsid w:val="00EC7C4D"/>
    <w:rsid w:val="00ED17F7"/>
    <w:rsid w:val="00ED715E"/>
    <w:rsid w:val="00EE3AD9"/>
    <w:rsid w:val="00EE4F85"/>
    <w:rsid w:val="00EE712C"/>
    <w:rsid w:val="00EE7BA8"/>
    <w:rsid w:val="00EF64BC"/>
    <w:rsid w:val="00EF7BB3"/>
    <w:rsid w:val="00F0020F"/>
    <w:rsid w:val="00F005F9"/>
    <w:rsid w:val="00F043F1"/>
    <w:rsid w:val="00F1183E"/>
    <w:rsid w:val="00F13BE0"/>
    <w:rsid w:val="00F17DDB"/>
    <w:rsid w:val="00F24720"/>
    <w:rsid w:val="00F267C8"/>
    <w:rsid w:val="00F34FC0"/>
    <w:rsid w:val="00F355B9"/>
    <w:rsid w:val="00F36B27"/>
    <w:rsid w:val="00F3778B"/>
    <w:rsid w:val="00F40A67"/>
    <w:rsid w:val="00F41828"/>
    <w:rsid w:val="00F44FFE"/>
    <w:rsid w:val="00F5211E"/>
    <w:rsid w:val="00F53FBD"/>
    <w:rsid w:val="00F56712"/>
    <w:rsid w:val="00F56A3D"/>
    <w:rsid w:val="00F605CD"/>
    <w:rsid w:val="00F63977"/>
    <w:rsid w:val="00F71851"/>
    <w:rsid w:val="00F72265"/>
    <w:rsid w:val="00F73FBB"/>
    <w:rsid w:val="00F750A5"/>
    <w:rsid w:val="00F774B4"/>
    <w:rsid w:val="00F7759F"/>
    <w:rsid w:val="00F77921"/>
    <w:rsid w:val="00F860C4"/>
    <w:rsid w:val="00F865E5"/>
    <w:rsid w:val="00F871DE"/>
    <w:rsid w:val="00F91070"/>
    <w:rsid w:val="00F91FC2"/>
    <w:rsid w:val="00F93704"/>
    <w:rsid w:val="00F95308"/>
    <w:rsid w:val="00F95356"/>
    <w:rsid w:val="00F96768"/>
    <w:rsid w:val="00F97069"/>
    <w:rsid w:val="00F9721F"/>
    <w:rsid w:val="00FA0C2C"/>
    <w:rsid w:val="00FA61DB"/>
    <w:rsid w:val="00FA6629"/>
    <w:rsid w:val="00FB2AC7"/>
    <w:rsid w:val="00FB2CEC"/>
    <w:rsid w:val="00FB4E64"/>
    <w:rsid w:val="00FB6457"/>
    <w:rsid w:val="00FC01EA"/>
    <w:rsid w:val="00FC131A"/>
    <w:rsid w:val="00FC4F97"/>
    <w:rsid w:val="00FC5C57"/>
    <w:rsid w:val="00FD0BD0"/>
    <w:rsid w:val="00FD20D5"/>
    <w:rsid w:val="00FD7571"/>
    <w:rsid w:val="00FE329C"/>
    <w:rsid w:val="00FE6592"/>
    <w:rsid w:val="00FF2694"/>
    <w:rsid w:val="00FF40A8"/>
    <w:rsid w:val="00FF46F4"/>
    <w:rsid w:val="00FF4AAC"/>
    <w:rsid w:val="00FF7EC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2"/>
    <o:shapelayout v:ext="edit">
      <o:idmap v:ext="edit" data="1"/>
    </o:shapelayout>
  </w:shapeDefaults>
  <w:decimalSymbol w:val="."/>
  <w:listSeparator w:val=","/>
  <w14:docId w14:val="7841FEB7"/>
  <w15:docId w15:val="{95092FCF-D062-4E48-96CE-5ECB20014E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5854"/>
    <w:pPr>
      <w:jc w:val="both"/>
    </w:pPr>
    <w:rPr>
      <w:rFonts w:ascii="Arial" w:hAnsi="Arial"/>
      <w:sz w:val="22"/>
    </w:rPr>
  </w:style>
  <w:style w:type="paragraph" w:styleId="Heading1">
    <w:name w:val="heading 1"/>
    <w:aliases w:val="Part Title,Document Title"/>
    <w:basedOn w:val="Normal"/>
    <w:next w:val="Normal"/>
    <w:qFormat/>
    <w:rsid w:val="00BD57FB"/>
    <w:pPr>
      <w:keepNext/>
      <w:spacing w:before="240" w:after="60"/>
      <w:jc w:val="left"/>
      <w:outlineLvl w:val="0"/>
    </w:pPr>
    <w:rPr>
      <w:b/>
      <w:bCs/>
      <w:color w:val="808000"/>
      <w:kern w:val="32"/>
      <w:sz w:val="36"/>
      <w:szCs w:val="32"/>
      <w:lang w:eastAsia="en-US"/>
    </w:rPr>
  </w:style>
  <w:style w:type="paragraph" w:styleId="Heading2">
    <w:name w:val="heading 2"/>
    <w:basedOn w:val="Normal"/>
    <w:next w:val="Heading4"/>
    <w:qFormat/>
    <w:rsid w:val="008B2C32"/>
    <w:pPr>
      <w:keepNext/>
      <w:spacing w:before="120"/>
      <w:jc w:val="left"/>
      <w:outlineLvl w:val="1"/>
    </w:pPr>
    <w:rPr>
      <w:rFonts w:ascii="Arial Bold" w:hAnsi="Arial Bold"/>
      <w:b/>
      <w:color w:val="7C3900"/>
      <w:sz w:val="36"/>
      <w:szCs w:val="72"/>
    </w:rPr>
  </w:style>
  <w:style w:type="paragraph" w:styleId="Heading3">
    <w:name w:val="heading 3"/>
    <w:basedOn w:val="Normal"/>
    <w:next w:val="Normal"/>
    <w:qFormat/>
    <w:rsid w:val="00BD57FB"/>
    <w:pPr>
      <w:keepNext/>
      <w:outlineLvl w:val="2"/>
    </w:pPr>
    <w:rPr>
      <w:b/>
      <w:bCs/>
    </w:rPr>
  </w:style>
  <w:style w:type="paragraph" w:styleId="Heading4">
    <w:name w:val="heading 4"/>
    <w:aliases w:val="Map Title"/>
    <w:basedOn w:val="Normal"/>
    <w:next w:val="Normal"/>
    <w:qFormat/>
    <w:rsid w:val="00094FE0"/>
    <w:pPr>
      <w:keepNext/>
      <w:spacing w:before="120" w:after="60"/>
      <w:jc w:val="left"/>
      <w:outlineLvl w:val="3"/>
    </w:pPr>
    <w:rPr>
      <w:rFonts w:ascii="Arial Bold" w:hAnsi="Arial Bold"/>
      <w:b/>
      <w:bCs/>
      <w:color w:val="DE791C"/>
      <w:sz w:val="32"/>
      <w:szCs w:val="32"/>
    </w:rPr>
  </w:style>
  <w:style w:type="paragraph" w:styleId="Heading5">
    <w:name w:val="heading 5"/>
    <w:aliases w:val="Block Label"/>
    <w:basedOn w:val="Normal"/>
    <w:next w:val="Normal"/>
    <w:qFormat/>
    <w:rsid w:val="0045237A"/>
    <w:pPr>
      <w:keepNext/>
      <w:spacing w:after="120"/>
      <w:jc w:val="left"/>
      <w:outlineLvl w:val="4"/>
    </w:pPr>
    <w:rPr>
      <w:b/>
      <w:bCs/>
      <w:color w:val="7C3900"/>
      <w:szCs w:val="22"/>
    </w:rPr>
  </w:style>
  <w:style w:type="paragraph" w:styleId="Heading6">
    <w:name w:val="heading 6"/>
    <w:aliases w:val="Sub Label"/>
    <w:basedOn w:val="Heading5"/>
    <w:next w:val="Normal"/>
    <w:qFormat/>
    <w:rsid w:val="0045237A"/>
    <w:pPr>
      <w:keepNext w:val="0"/>
      <w:spacing w:after="0"/>
      <w:outlineLvl w:val="5"/>
    </w:pPr>
    <w:rPr>
      <w:bCs w:val="0"/>
      <w:color w:val="DE791C"/>
      <w:szCs w:val="20"/>
      <w:lang w:eastAsia="en-US"/>
    </w:rPr>
  </w:style>
  <w:style w:type="paragraph" w:styleId="Heading7">
    <w:name w:val="heading 7"/>
    <w:basedOn w:val="Normal"/>
    <w:next w:val="Normal"/>
    <w:qFormat/>
    <w:rsid w:val="00CD7860"/>
    <w:pPr>
      <w:keepNext/>
      <w:outlineLvl w:val="6"/>
    </w:pPr>
    <w:rPr>
      <w:i/>
    </w:rPr>
  </w:style>
  <w:style w:type="paragraph" w:styleId="Heading8">
    <w:name w:val="heading 8"/>
    <w:basedOn w:val="Normal"/>
    <w:next w:val="Normal"/>
    <w:qFormat/>
    <w:rsid w:val="00CD7860"/>
    <w:pPr>
      <w:keepNext/>
      <w:spacing w:before="120"/>
      <w:outlineLvl w:val="7"/>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lockLine">
    <w:name w:val="Block Line"/>
    <w:basedOn w:val="Normal"/>
    <w:next w:val="Normal"/>
    <w:rsid w:val="008B2C32"/>
    <w:pPr>
      <w:pBdr>
        <w:top w:val="single" w:sz="6" w:space="1" w:color="F8981D"/>
        <w:between w:val="single" w:sz="6" w:space="1" w:color="auto"/>
      </w:pBdr>
      <w:spacing w:before="120"/>
      <w:ind w:left="1701" w:right="-731"/>
    </w:pPr>
    <w:rPr>
      <w:sz w:val="10"/>
      <w:lang w:eastAsia="en-US"/>
    </w:rPr>
  </w:style>
  <w:style w:type="table" w:styleId="TableGrid">
    <w:name w:val="Table Grid"/>
    <w:basedOn w:val="TableNormal"/>
    <w:rsid w:val="00A3239B"/>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BD57FB"/>
    <w:rPr>
      <w:rFonts w:ascii="Tahoma" w:hAnsi="Tahoma" w:cs="Tahoma"/>
      <w:sz w:val="16"/>
      <w:szCs w:val="16"/>
    </w:rPr>
  </w:style>
  <w:style w:type="paragraph" w:customStyle="1" w:styleId="BlockText1">
    <w:name w:val="Block Text1"/>
    <w:basedOn w:val="Normal"/>
    <w:rsid w:val="00BD57FB"/>
    <w:pPr>
      <w:spacing w:after="120"/>
      <w:jc w:val="left"/>
    </w:pPr>
  </w:style>
  <w:style w:type="paragraph" w:customStyle="1" w:styleId="Blocktextitalic">
    <w:name w:val="Block text italic"/>
    <w:basedOn w:val="BlockText1"/>
    <w:next w:val="BlockText1"/>
    <w:rsid w:val="00BD57FB"/>
    <w:rPr>
      <w:i/>
    </w:rPr>
  </w:style>
  <w:style w:type="paragraph" w:customStyle="1" w:styleId="BulletText1">
    <w:name w:val="Bullet Text 1"/>
    <w:basedOn w:val="Normal"/>
    <w:rsid w:val="007E2C7B"/>
    <w:pPr>
      <w:numPr>
        <w:numId w:val="10"/>
      </w:numPr>
      <w:spacing w:before="60" w:after="60"/>
      <w:jc w:val="left"/>
    </w:pPr>
    <w:rPr>
      <w:lang w:eastAsia="en-US"/>
    </w:rPr>
  </w:style>
  <w:style w:type="paragraph" w:customStyle="1" w:styleId="BulletText2">
    <w:name w:val="Bullet Text 2"/>
    <w:basedOn w:val="Normal"/>
    <w:rsid w:val="00BD57FB"/>
    <w:pPr>
      <w:numPr>
        <w:numId w:val="11"/>
      </w:numPr>
      <w:spacing w:after="60"/>
      <w:jc w:val="left"/>
    </w:pPr>
    <w:rPr>
      <w:lang w:val="en-US" w:eastAsia="en-US"/>
    </w:rPr>
  </w:style>
  <w:style w:type="paragraph" w:customStyle="1" w:styleId="Capabilitytext">
    <w:name w:val="Capability text"/>
    <w:basedOn w:val="BlockText1"/>
    <w:rsid w:val="00BD57FB"/>
    <w:pPr>
      <w:spacing w:before="240" w:after="240"/>
    </w:pPr>
    <w:rPr>
      <w:b/>
      <w:color w:val="808000"/>
    </w:rPr>
  </w:style>
  <w:style w:type="paragraph" w:styleId="Caption">
    <w:name w:val="caption"/>
    <w:basedOn w:val="Normal"/>
    <w:next w:val="Normal"/>
    <w:qFormat/>
    <w:rsid w:val="00BD57FB"/>
    <w:pPr>
      <w:spacing w:before="120" w:after="120"/>
    </w:pPr>
    <w:rPr>
      <w:b/>
    </w:rPr>
  </w:style>
  <w:style w:type="character" w:styleId="CommentReference">
    <w:name w:val="annotation reference"/>
    <w:basedOn w:val="DefaultParagraphFont"/>
    <w:semiHidden/>
    <w:rsid w:val="00BD57FB"/>
    <w:rPr>
      <w:sz w:val="16"/>
      <w:szCs w:val="16"/>
    </w:rPr>
  </w:style>
  <w:style w:type="paragraph" w:styleId="CommentText">
    <w:name w:val="annotation text"/>
    <w:basedOn w:val="Normal"/>
    <w:link w:val="CommentTextChar"/>
    <w:semiHidden/>
    <w:rsid w:val="00BD57FB"/>
    <w:rPr>
      <w:sz w:val="20"/>
    </w:rPr>
  </w:style>
  <w:style w:type="paragraph" w:styleId="CommentSubject">
    <w:name w:val="annotation subject"/>
    <w:basedOn w:val="CommentText"/>
    <w:next w:val="CommentText"/>
    <w:semiHidden/>
    <w:rsid w:val="00BD57FB"/>
    <w:rPr>
      <w:b/>
      <w:bCs/>
    </w:rPr>
  </w:style>
  <w:style w:type="paragraph" w:styleId="DocumentMap">
    <w:name w:val="Document Map"/>
    <w:basedOn w:val="Normal"/>
    <w:semiHidden/>
    <w:rsid w:val="00BD57FB"/>
    <w:pPr>
      <w:shd w:val="clear" w:color="auto" w:fill="000080"/>
    </w:pPr>
    <w:rPr>
      <w:rFonts w:ascii="Tahoma" w:hAnsi="Tahoma" w:cs="Tahoma"/>
    </w:rPr>
  </w:style>
  <w:style w:type="paragraph" w:styleId="Footer">
    <w:name w:val="footer"/>
    <w:basedOn w:val="Normal"/>
    <w:rsid w:val="00BD57FB"/>
    <w:pPr>
      <w:tabs>
        <w:tab w:val="center" w:pos="4320"/>
        <w:tab w:val="right" w:pos="8640"/>
      </w:tabs>
    </w:pPr>
    <w:rPr>
      <w:lang w:eastAsia="en-US"/>
    </w:rPr>
  </w:style>
  <w:style w:type="paragraph" w:styleId="Header">
    <w:name w:val="header"/>
    <w:basedOn w:val="Normal"/>
    <w:rsid w:val="00BD57FB"/>
    <w:pPr>
      <w:tabs>
        <w:tab w:val="center" w:pos="4153"/>
        <w:tab w:val="right" w:pos="8306"/>
      </w:tabs>
    </w:pPr>
    <w:rPr>
      <w:sz w:val="16"/>
      <w:szCs w:val="16"/>
    </w:rPr>
  </w:style>
  <w:style w:type="paragraph" w:customStyle="1" w:styleId="Humber-Heading1">
    <w:name w:val="Humber - Heading 1"/>
    <w:basedOn w:val="Normal"/>
    <w:link w:val="Humber-Heading1Char"/>
    <w:rsid w:val="003B6846"/>
    <w:pPr>
      <w:spacing w:before="120" w:after="120"/>
      <w:ind w:right="340"/>
      <w:jc w:val="left"/>
    </w:pPr>
    <w:rPr>
      <w:b/>
      <w:bCs/>
      <w:color w:val="7C3900"/>
      <w:sz w:val="26"/>
      <w:szCs w:val="24"/>
    </w:rPr>
  </w:style>
  <w:style w:type="paragraph" w:customStyle="1" w:styleId="Hyperlinkintext">
    <w:name w:val="Hyperlink in text"/>
    <w:basedOn w:val="BlockText1"/>
    <w:rsid w:val="00BD57FB"/>
    <w:pPr>
      <w:spacing w:before="60"/>
    </w:pPr>
    <w:rPr>
      <w:color w:val="0000FF"/>
      <w:u w:val="single"/>
    </w:rPr>
  </w:style>
  <w:style w:type="character" w:styleId="Hyperlink">
    <w:name w:val="Hyperlink"/>
    <w:aliases w:val="Hyperlink in toc"/>
    <w:basedOn w:val="DefaultParagraphFont"/>
    <w:rsid w:val="00BD57FB"/>
    <w:rPr>
      <w:rFonts w:ascii="Arial" w:hAnsi="Arial"/>
      <w:color w:val="0000FF"/>
      <w:sz w:val="22"/>
      <w:u w:val="single" w:color="0000FF"/>
    </w:rPr>
  </w:style>
  <w:style w:type="paragraph" w:customStyle="1" w:styleId="StyleHeading4MapTitleBlue">
    <w:name w:val="Style Heading 4Map Title + Blue"/>
    <w:basedOn w:val="Heading4"/>
    <w:rsid w:val="00BD57FB"/>
  </w:style>
  <w:style w:type="paragraph" w:customStyle="1" w:styleId="StyleHeading4MapTitleLeft">
    <w:name w:val="Style Heading 4Map Title + Left"/>
    <w:basedOn w:val="Heading4"/>
    <w:rsid w:val="00BD57FB"/>
    <w:rPr>
      <w:szCs w:val="20"/>
    </w:rPr>
  </w:style>
  <w:style w:type="paragraph" w:customStyle="1" w:styleId="Stylenotchapterheading">
    <w:name w:val="Style not chapter heading"/>
    <w:basedOn w:val="Heading2"/>
    <w:rsid w:val="00BD57FB"/>
  </w:style>
  <w:style w:type="paragraph" w:customStyle="1" w:styleId="StyleNotMapTitle">
    <w:name w:val="Style Not Map Title"/>
    <w:basedOn w:val="Heading4"/>
    <w:rsid w:val="00BD57FB"/>
    <w:rPr>
      <w:lang w:val="en-US" w:eastAsia="en-US"/>
    </w:rPr>
  </w:style>
  <w:style w:type="paragraph" w:customStyle="1" w:styleId="Textintable">
    <w:name w:val="Text in table"/>
    <w:basedOn w:val="Normal"/>
    <w:rsid w:val="00BD57FB"/>
    <w:pPr>
      <w:spacing w:before="60" w:after="60"/>
      <w:jc w:val="left"/>
    </w:pPr>
  </w:style>
  <w:style w:type="paragraph" w:customStyle="1" w:styleId="Tableheader">
    <w:name w:val="Table header"/>
    <w:basedOn w:val="Textintable"/>
    <w:rsid w:val="00A72D25"/>
    <w:rPr>
      <w:rFonts w:ascii="Arial Bold" w:hAnsi="Arial Bold" w:cs="Arial"/>
      <w:b/>
      <w:bCs/>
      <w:color w:val="FFCD5D"/>
    </w:rPr>
  </w:style>
  <w:style w:type="paragraph" w:styleId="TOC1">
    <w:name w:val="toc 1"/>
    <w:basedOn w:val="Normal"/>
    <w:next w:val="Normal"/>
    <w:autoRedefine/>
    <w:semiHidden/>
    <w:rsid w:val="00BD57FB"/>
    <w:pPr>
      <w:ind w:right="1843"/>
    </w:pPr>
  </w:style>
  <w:style w:type="paragraph" w:styleId="TOC2">
    <w:name w:val="toc 2"/>
    <w:basedOn w:val="Normal"/>
    <w:next w:val="Normal"/>
    <w:autoRedefine/>
    <w:semiHidden/>
    <w:rsid w:val="00BD57FB"/>
    <w:pPr>
      <w:framePr w:hSpace="180" w:wrap="around" w:vAnchor="text" w:hAnchor="margin" w:y="10"/>
      <w:tabs>
        <w:tab w:val="right" w:pos="5747"/>
      </w:tabs>
      <w:spacing w:before="120" w:after="60"/>
      <w:ind w:left="132" w:right="137" w:hanging="194"/>
      <w:jc w:val="left"/>
    </w:pPr>
    <w:rPr>
      <w:color w:val="0000FF"/>
      <w:u w:val="words" w:color="0000FF"/>
    </w:rPr>
  </w:style>
  <w:style w:type="paragraph" w:styleId="TOC4">
    <w:name w:val="toc 4"/>
    <w:basedOn w:val="Normal"/>
    <w:next w:val="Normal"/>
    <w:autoRedefine/>
    <w:semiHidden/>
    <w:rsid w:val="00BD57FB"/>
    <w:pPr>
      <w:framePr w:hSpace="180" w:wrap="around" w:vAnchor="text" w:hAnchor="margin" w:y="10"/>
      <w:tabs>
        <w:tab w:val="right" w:pos="5747"/>
      </w:tabs>
      <w:spacing w:after="120"/>
      <w:ind w:left="144" w:right="137"/>
      <w:jc w:val="left"/>
    </w:pPr>
    <w:rPr>
      <w:color w:val="0000FF"/>
      <w:u w:val="words" w:color="0000FF"/>
    </w:rPr>
  </w:style>
  <w:style w:type="paragraph" w:styleId="TOC5">
    <w:name w:val="toc 5"/>
    <w:basedOn w:val="Normal"/>
    <w:next w:val="Normal"/>
    <w:autoRedefine/>
    <w:semiHidden/>
    <w:rsid w:val="00BD57FB"/>
    <w:pPr>
      <w:tabs>
        <w:tab w:val="right" w:pos="5740"/>
      </w:tabs>
      <w:ind w:left="160" w:right="137"/>
    </w:pPr>
  </w:style>
  <w:style w:type="paragraph" w:customStyle="1" w:styleId="StyleHeading2Left">
    <w:name w:val="Style Heading 2 + Left"/>
    <w:basedOn w:val="Heading2"/>
    <w:rsid w:val="00825B5C"/>
    <w:rPr>
      <w:bCs/>
      <w:color w:val="56004E"/>
      <w:szCs w:val="20"/>
    </w:rPr>
  </w:style>
  <w:style w:type="character" w:styleId="Emphasis">
    <w:name w:val="Emphasis"/>
    <w:basedOn w:val="DefaultParagraphFont"/>
    <w:qFormat/>
    <w:rsid w:val="0002324C"/>
    <w:rPr>
      <w:i/>
      <w:iCs/>
    </w:rPr>
  </w:style>
  <w:style w:type="paragraph" w:customStyle="1" w:styleId="Humber-Heading2">
    <w:name w:val="Humber - Heading 2"/>
    <w:basedOn w:val="Normal"/>
    <w:rsid w:val="003B6846"/>
    <w:pPr>
      <w:keepNext/>
      <w:autoSpaceDE w:val="0"/>
      <w:autoSpaceDN w:val="0"/>
      <w:adjustRightInd w:val="0"/>
      <w:spacing w:before="120" w:after="120"/>
      <w:ind w:right="340"/>
      <w:jc w:val="left"/>
    </w:pPr>
    <w:rPr>
      <w:rFonts w:cs="Arial"/>
      <w:b/>
      <w:bCs/>
      <w:color w:val="DE791C"/>
      <w:szCs w:val="22"/>
    </w:rPr>
  </w:style>
  <w:style w:type="paragraph" w:customStyle="1" w:styleId="Tabletext">
    <w:name w:val="Table text"/>
    <w:basedOn w:val="Normal"/>
    <w:link w:val="TabletextChar"/>
    <w:rsid w:val="003B6846"/>
    <w:pPr>
      <w:spacing w:before="40" w:after="40"/>
      <w:jc w:val="left"/>
    </w:pPr>
    <w:rPr>
      <w:szCs w:val="24"/>
    </w:rPr>
  </w:style>
  <w:style w:type="character" w:customStyle="1" w:styleId="Humber-Heading1Char">
    <w:name w:val="Humber - Heading 1 Char"/>
    <w:basedOn w:val="DefaultParagraphFont"/>
    <w:link w:val="Humber-Heading1"/>
    <w:rsid w:val="003B6846"/>
    <w:rPr>
      <w:rFonts w:ascii="Arial" w:hAnsi="Arial"/>
      <w:b/>
      <w:bCs/>
      <w:color w:val="7C3900"/>
      <w:sz w:val="26"/>
      <w:szCs w:val="24"/>
      <w:lang w:val="en-GB" w:eastAsia="en-GB" w:bidi="ar-SA"/>
    </w:rPr>
  </w:style>
  <w:style w:type="paragraph" w:customStyle="1" w:styleId="Humber-bodytext">
    <w:name w:val="Humber - body text"/>
    <w:basedOn w:val="Normal"/>
    <w:rsid w:val="002D0BC0"/>
    <w:pPr>
      <w:autoSpaceDE w:val="0"/>
      <w:autoSpaceDN w:val="0"/>
      <w:adjustRightInd w:val="0"/>
      <w:spacing w:before="120"/>
      <w:ind w:right="340"/>
      <w:jc w:val="left"/>
    </w:pPr>
    <w:rPr>
      <w:rFonts w:cs="Arial"/>
      <w:color w:val="7C3900"/>
      <w:szCs w:val="22"/>
    </w:rPr>
  </w:style>
  <w:style w:type="character" w:styleId="PageNumber">
    <w:name w:val="page number"/>
    <w:basedOn w:val="DefaultParagraphFont"/>
    <w:rsid w:val="00AC5CDD"/>
  </w:style>
  <w:style w:type="character" w:customStyle="1" w:styleId="TabletextChar">
    <w:name w:val="Table text Char"/>
    <w:basedOn w:val="DefaultParagraphFont"/>
    <w:link w:val="Tabletext"/>
    <w:rsid w:val="002B72AB"/>
    <w:rPr>
      <w:rFonts w:ascii="Arial" w:hAnsi="Arial"/>
      <w:sz w:val="22"/>
      <w:szCs w:val="24"/>
    </w:rPr>
  </w:style>
  <w:style w:type="character" w:customStyle="1" w:styleId="bodyboldblack">
    <w:name w:val="body bold black"/>
    <w:basedOn w:val="DefaultParagraphFont"/>
    <w:rsid w:val="00261ED1"/>
    <w:rPr>
      <w:rFonts w:ascii="Arial" w:hAnsi="Arial"/>
      <w:b/>
      <w:color w:val="auto"/>
      <w:sz w:val="22"/>
    </w:rPr>
  </w:style>
  <w:style w:type="paragraph" w:styleId="ListParagraph">
    <w:name w:val="List Paragraph"/>
    <w:basedOn w:val="Normal"/>
    <w:uiPriority w:val="34"/>
    <w:qFormat/>
    <w:rsid w:val="005C7639"/>
    <w:pPr>
      <w:ind w:left="720"/>
      <w:contextualSpacing/>
    </w:pPr>
  </w:style>
  <w:style w:type="character" w:customStyle="1" w:styleId="CommentTextChar">
    <w:name w:val="Comment Text Char"/>
    <w:basedOn w:val="DefaultParagraphFont"/>
    <w:link w:val="CommentText"/>
    <w:semiHidden/>
    <w:rsid w:val="0091309F"/>
    <w:rPr>
      <w:rFonts w:ascii="Arial" w:hAnsi="Arial"/>
    </w:rPr>
  </w:style>
  <w:style w:type="paragraph" w:styleId="FootnoteText">
    <w:name w:val="footnote text"/>
    <w:basedOn w:val="Normal"/>
    <w:link w:val="FootnoteTextChar"/>
    <w:rsid w:val="00443646"/>
    <w:rPr>
      <w:sz w:val="20"/>
    </w:rPr>
  </w:style>
  <w:style w:type="character" w:customStyle="1" w:styleId="FootnoteTextChar">
    <w:name w:val="Footnote Text Char"/>
    <w:basedOn w:val="DefaultParagraphFont"/>
    <w:link w:val="FootnoteText"/>
    <w:rsid w:val="00443646"/>
    <w:rPr>
      <w:rFonts w:ascii="Arial" w:hAnsi="Arial"/>
    </w:rPr>
  </w:style>
  <w:style w:type="character" w:styleId="FootnoteReference">
    <w:name w:val="footnote reference"/>
    <w:basedOn w:val="DefaultParagraphFont"/>
    <w:rsid w:val="00443646"/>
    <w:rPr>
      <w:vertAlign w:val="superscript"/>
    </w:rPr>
  </w:style>
  <w:style w:type="paragraph" w:styleId="Revision">
    <w:name w:val="Revision"/>
    <w:hidden/>
    <w:uiPriority w:val="99"/>
    <w:semiHidden/>
    <w:rsid w:val="00695ACE"/>
    <w:rPr>
      <w:rFonts w:ascii="Arial" w:hAnsi="Arial"/>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5682">
      <w:bodyDiv w:val="1"/>
      <w:marLeft w:val="0"/>
      <w:marRight w:val="0"/>
      <w:marTop w:val="0"/>
      <w:marBottom w:val="0"/>
      <w:divBdr>
        <w:top w:val="none" w:sz="0" w:space="0" w:color="auto"/>
        <w:left w:val="none" w:sz="0" w:space="0" w:color="auto"/>
        <w:bottom w:val="none" w:sz="0" w:space="0" w:color="auto"/>
        <w:right w:val="none" w:sz="0" w:space="0" w:color="auto"/>
      </w:divBdr>
    </w:div>
    <w:div w:id="11419237">
      <w:bodyDiv w:val="1"/>
      <w:marLeft w:val="0"/>
      <w:marRight w:val="0"/>
      <w:marTop w:val="0"/>
      <w:marBottom w:val="0"/>
      <w:divBdr>
        <w:top w:val="none" w:sz="0" w:space="0" w:color="auto"/>
        <w:left w:val="none" w:sz="0" w:space="0" w:color="auto"/>
        <w:bottom w:val="none" w:sz="0" w:space="0" w:color="auto"/>
        <w:right w:val="none" w:sz="0" w:space="0" w:color="auto"/>
      </w:divBdr>
    </w:div>
    <w:div w:id="28142073">
      <w:bodyDiv w:val="1"/>
      <w:marLeft w:val="0"/>
      <w:marRight w:val="0"/>
      <w:marTop w:val="0"/>
      <w:marBottom w:val="0"/>
      <w:divBdr>
        <w:top w:val="none" w:sz="0" w:space="0" w:color="auto"/>
        <w:left w:val="none" w:sz="0" w:space="0" w:color="auto"/>
        <w:bottom w:val="none" w:sz="0" w:space="0" w:color="auto"/>
        <w:right w:val="none" w:sz="0" w:space="0" w:color="auto"/>
      </w:divBdr>
    </w:div>
    <w:div w:id="28773142">
      <w:bodyDiv w:val="1"/>
      <w:marLeft w:val="0"/>
      <w:marRight w:val="0"/>
      <w:marTop w:val="0"/>
      <w:marBottom w:val="0"/>
      <w:divBdr>
        <w:top w:val="none" w:sz="0" w:space="0" w:color="auto"/>
        <w:left w:val="none" w:sz="0" w:space="0" w:color="auto"/>
        <w:bottom w:val="none" w:sz="0" w:space="0" w:color="auto"/>
        <w:right w:val="none" w:sz="0" w:space="0" w:color="auto"/>
      </w:divBdr>
      <w:divsChild>
        <w:div w:id="1961951762">
          <w:marLeft w:val="0"/>
          <w:marRight w:val="0"/>
          <w:marTop w:val="0"/>
          <w:marBottom w:val="0"/>
          <w:divBdr>
            <w:top w:val="none" w:sz="0" w:space="0" w:color="auto"/>
            <w:left w:val="none" w:sz="0" w:space="0" w:color="auto"/>
            <w:bottom w:val="none" w:sz="0" w:space="0" w:color="auto"/>
            <w:right w:val="none" w:sz="0" w:space="0" w:color="auto"/>
          </w:divBdr>
          <w:divsChild>
            <w:div w:id="1093018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34721">
      <w:bodyDiv w:val="1"/>
      <w:marLeft w:val="0"/>
      <w:marRight w:val="0"/>
      <w:marTop w:val="0"/>
      <w:marBottom w:val="0"/>
      <w:divBdr>
        <w:top w:val="none" w:sz="0" w:space="0" w:color="auto"/>
        <w:left w:val="none" w:sz="0" w:space="0" w:color="auto"/>
        <w:bottom w:val="none" w:sz="0" w:space="0" w:color="auto"/>
        <w:right w:val="none" w:sz="0" w:space="0" w:color="auto"/>
      </w:divBdr>
    </w:div>
    <w:div w:id="62991570">
      <w:bodyDiv w:val="1"/>
      <w:marLeft w:val="0"/>
      <w:marRight w:val="0"/>
      <w:marTop w:val="0"/>
      <w:marBottom w:val="0"/>
      <w:divBdr>
        <w:top w:val="none" w:sz="0" w:space="0" w:color="auto"/>
        <w:left w:val="none" w:sz="0" w:space="0" w:color="auto"/>
        <w:bottom w:val="none" w:sz="0" w:space="0" w:color="auto"/>
        <w:right w:val="none" w:sz="0" w:space="0" w:color="auto"/>
      </w:divBdr>
    </w:div>
    <w:div w:id="63570980">
      <w:bodyDiv w:val="1"/>
      <w:marLeft w:val="0"/>
      <w:marRight w:val="0"/>
      <w:marTop w:val="0"/>
      <w:marBottom w:val="0"/>
      <w:divBdr>
        <w:top w:val="none" w:sz="0" w:space="0" w:color="auto"/>
        <w:left w:val="none" w:sz="0" w:space="0" w:color="auto"/>
        <w:bottom w:val="none" w:sz="0" w:space="0" w:color="auto"/>
        <w:right w:val="none" w:sz="0" w:space="0" w:color="auto"/>
      </w:divBdr>
    </w:div>
    <w:div w:id="96365497">
      <w:bodyDiv w:val="1"/>
      <w:marLeft w:val="0"/>
      <w:marRight w:val="0"/>
      <w:marTop w:val="0"/>
      <w:marBottom w:val="0"/>
      <w:divBdr>
        <w:top w:val="none" w:sz="0" w:space="0" w:color="auto"/>
        <w:left w:val="none" w:sz="0" w:space="0" w:color="auto"/>
        <w:bottom w:val="none" w:sz="0" w:space="0" w:color="auto"/>
        <w:right w:val="none" w:sz="0" w:space="0" w:color="auto"/>
      </w:divBdr>
    </w:div>
    <w:div w:id="154804467">
      <w:bodyDiv w:val="1"/>
      <w:marLeft w:val="0"/>
      <w:marRight w:val="0"/>
      <w:marTop w:val="0"/>
      <w:marBottom w:val="0"/>
      <w:divBdr>
        <w:top w:val="none" w:sz="0" w:space="0" w:color="auto"/>
        <w:left w:val="none" w:sz="0" w:space="0" w:color="auto"/>
        <w:bottom w:val="none" w:sz="0" w:space="0" w:color="auto"/>
        <w:right w:val="none" w:sz="0" w:space="0" w:color="auto"/>
      </w:divBdr>
    </w:div>
    <w:div w:id="173880236">
      <w:bodyDiv w:val="1"/>
      <w:marLeft w:val="0"/>
      <w:marRight w:val="0"/>
      <w:marTop w:val="0"/>
      <w:marBottom w:val="0"/>
      <w:divBdr>
        <w:top w:val="none" w:sz="0" w:space="0" w:color="auto"/>
        <w:left w:val="none" w:sz="0" w:space="0" w:color="auto"/>
        <w:bottom w:val="none" w:sz="0" w:space="0" w:color="auto"/>
        <w:right w:val="none" w:sz="0" w:space="0" w:color="auto"/>
      </w:divBdr>
    </w:div>
    <w:div w:id="177935779">
      <w:bodyDiv w:val="1"/>
      <w:marLeft w:val="0"/>
      <w:marRight w:val="0"/>
      <w:marTop w:val="0"/>
      <w:marBottom w:val="0"/>
      <w:divBdr>
        <w:top w:val="none" w:sz="0" w:space="0" w:color="auto"/>
        <w:left w:val="none" w:sz="0" w:space="0" w:color="auto"/>
        <w:bottom w:val="none" w:sz="0" w:space="0" w:color="auto"/>
        <w:right w:val="none" w:sz="0" w:space="0" w:color="auto"/>
      </w:divBdr>
      <w:divsChild>
        <w:div w:id="616528174">
          <w:marLeft w:val="0"/>
          <w:marRight w:val="0"/>
          <w:marTop w:val="0"/>
          <w:marBottom w:val="0"/>
          <w:divBdr>
            <w:top w:val="none" w:sz="0" w:space="0" w:color="auto"/>
            <w:left w:val="none" w:sz="0" w:space="0" w:color="auto"/>
            <w:bottom w:val="none" w:sz="0" w:space="0" w:color="auto"/>
            <w:right w:val="none" w:sz="0" w:space="0" w:color="auto"/>
          </w:divBdr>
        </w:div>
      </w:divsChild>
    </w:div>
    <w:div w:id="191385793">
      <w:bodyDiv w:val="1"/>
      <w:marLeft w:val="0"/>
      <w:marRight w:val="0"/>
      <w:marTop w:val="0"/>
      <w:marBottom w:val="0"/>
      <w:divBdr>
        <w:top w:val="none" w:sz="0" w:space="0" w:color="auto"/>
        <w:left w:val="none" w:sz="0" w:space="0" w:color="auto"/>
        <w:bottom w:val="none" w:sz="0" w:space="0" w:color="auto"/>
        <w:right w:val="none" w:sz="0" w:space="0" w:color="auto"/>
      </w:divBdr>
    </w:div>
    <w:div w:id="222064316">
      <w:bodyDiv w:val="1"/>
      <w:marLeft w:val="0"/>
      <w:marRight w:val="0"/>
      <w:marTop w:val="0"/>
      <w:marBottom w:val="0"/>
      <w:divBdr>
        <w:top w:val="none" w:sz="0" w:space="0" w:color="auto"/>
        <w:left w:val="none" w:sz="0" w:space="0" w:color="auto"/>
        <w:bottom w:val="none" w:sz="0" w:space="0" w:color="auto"/>
        <w:right w:val="none" w:sz="0" w:space="0" w:color="auto"/>
      </w:divBdr>
    </w:div>
    <w:div w:id="265042378">
      <w:bodyDiv w:val="1"/>
      <w:marLeft w:val="0"/>
      <w:marRight w:val="0"/>
      <w:marTop w:val="0"/>
      <w:marBottom w:val="0"/>
      <w:divBdr>
        <w:top w:val="none" w:sz="0" w:space="0" w:color="auto"/>
        <w:left w:val="none" w:sz="0" w:space="0" w:color="auto"/>
        <w:bottom w:val="none" w:sz="0" w:space="0" w:color="auto"/>
        <w:right w:val="none" w:sz="0" w:space="0" w:color="auto"/>
      </w:divBdr>
    </w:div>
    <w:div w:id="333996864">
      <w:bodyDiv w:val="1"/>
      <w:marLeft w:val="0"/>
      <w:marRight w:val="0"/>
      <w:marTop w:val="0"/>
      <w:marBottom w:val="0"/>
      <w:divBdr>
        <w:top w:val="none" w:sz="0" w:space="0" w:color="auto"/>
        <w:left w:val="none" w:sz="0" w:space="0" w:color="auto"/>
        <w:bottom w:val="none" w:sz="0" w:space="0" w:color="auto"/>
        <w:right w:val="none" w:sz="0" w:space="0" w:color="auto"/>
      </w:divBdr>
    </w:div>
    <w:div w:id="344013694">
      <w:bodyDiv w:val="1"/>
      <w:marLeft w:val="0"/>
      <w:marRight w:val="0"/>
      <w:marTop w:val="0"/>
      <w:marBottom w:val="0"/>
      <w:divBdr>
        <w:top w:val="none" w:sz="0" w:space="0" w:color="auto"/>
        <w:left w:val="none" w:sz="0" w:space="0" w:color="auto"/>
        <w:bottom w:val="none" w:sz="0" w:space="0" w:color="auto"/>
        <w:right w:val="none" w:sz="0" w:space="0" w:color="auto"/>
      </w:divBdr>
    </w:div>
    <w:div w:id="378869224">
      <w:bodyDiv w:val="1"/>
      <w:marLeft w:val="0"/>
      <w:marRight w:val="0"/>
      <w:marTop w:val="0"/>
      <w:marBottom w:val="0"/>
      <w:divBdr>
        <w:top w:val="none" w:sz="0" w:space="0" w:color="auto"/>
        <w:left w:val="none" w:sz="0" w:space="0" w:color="auto"/>
        <w:bottom w:val="none" w:sz="0" w:space="0" w:color="auto"/>
        <w:right w:val="none" w:sz="0" w:space="0" w:color="auto"/>
      </w:divBdr>
    </w:div>
    <w:div w:id="440881018">
      <w:bodyDiv w:val="1"/>
      <w:marLeft w:val="0"/>
      <w:marRight w:val="0"/>
      <w:marTop w:val="0"/>
      <w:marBottom w:val="0"/>
      <w:divBdr>
        <w:top w:val="none" w:sz="0" w:space="0" w:color="auto"/>
        <w:left w:val="none" w:sz="0" w:space="0" w:color="auto"/>
        <w:bottom w:val="none" w:sz="0" w:space="0" w:color="auto"/>
        <w:right w:val="none" w:sz="0" w:space="0" w:color="auto"/>
      </w:divBdr>
    </w:div>
    <w:div w:id="460146875">
      <w:bodyDiv w:val="1"/>
      <w:marLeft w:val="0"/>
      <w:marRight w:val="0"/>
      <w:marTop w:val="0"/>
      <w:marBottom w:val="0"/>
      <w:divBdr>
        <w:top w:val="none" w:sz="0" w:space="0" w:color="auto"/>
        <w:left w:val="none" w:sz="0" w:space="0" w:color="auto"/>
        <w:bottom w:val="none" w:sz="0" w:space="0" w:color="auto"/>
        <w:right w:val="none" w:sz="0" w:space="0" w:color="auto"/>
      </w:divBdr>
    </w:div>
    <w:div w:id="494535824">
      <w:bodyDiv w:val="1"/>
      <w:marLeft w:val="0"/>
      <w:marRight w:val="0"/>
      <w:marTop w:val="0"/>
      <w:marBottom w:val="0"/>
      <w:divBdr>
        <w:top w:val="none" w:sz="0" w:space="0" w:color="auto"/>
        <w:left w:val="none" w:sz="0" w:space="0" w:color="auto"/>
        <w:bottom w:val="none" w:sz="0" w:space="0" w:color="auto"/>
        <w:right w:val="none" w:sz="0" w:space="0" w:color="auto"/>
      </w:divBdr>
    </w:div>
    <w:div w:id="534192827">
      <w:bodyDiv w:val="1"/>
      <w:marLeft w:val="0"/>
      <w:marRight w:val="0"/>
      <w:marTop w:val="0"/>
      <w:marBottom w:val="0"/>
      <w:divBdr>
        <w:top w:val="none" w:sz="0" w:space="0" w:color="auto"/>
        <w:left w:val="none" w:sz="0" w:space="0" w:color="auto"/>
        <w:bottom w:val="none" w:sz="0" w:space="0" w:color="auto"/>
        <w:right w:val="none" w:sz="0" w:space="0" w:color="auto"/>
      </w:divBdr>
    </w:div>
    <w:div w:id="553127803">
      <w:bodyDiv w:val="1"/>
      <w:marLeft w:val="0"/>
      <w:marRight w:val="0"/>
      <w:marTop w:val="0"/>
      <w:marBottom w:val="0"/>
      <w:divBdr>
        <w:top w:val="none" w:sz="0" w:space="0" w:color="auto"/>
        <w:left w:val="none" w:sz="0" w:space="0" w:color="auto"/>
        <w:bottom w:val="none" w:sz="0" w:space="0" w:color="auto"/>
        <w:right w:val="none" w:sz="0" w:space="0" w:color="auto"/>
      </w:divBdr>
    </w:div>
    <w:div w:id="558327317">
      <w:bodyDiv w:val="1"/>
      <w:marLeft w:val="0"/>
      <w:marRight w:val="0"/>
      <w:marTop w:val="0"/>
      <w:marBottom w:val="0"/>
      <w:divBdr>
        <w:top w:val="none" w:sz="0" w:space="0" w:color="auto"/>
        <w:left w:val="none" w:sz="0" w:space="0" w:color="auto"/>
        <w:bottom w:val="none" w:sz="0" w:space="0" w:color="auto"/>
        <w:right w:val="none" w:sz="0" w:space="0" w:color="auto"/>
      </w:divBdr>
    </w:div>
    <w:div w:id="562256223">
      <w:bodyDiv w:val="1"/>
      <w:marLeft w:val="0"/>
      <w:marRight w:val="0"/>
      <w:marTop w:val="0"/>
      <w:marBottom w:val="0"/>
      <w:divBdr>
        <w:top w:val="none" w:sz="0" w:space="0" w:color="auto"/>
        <w:left w:val="none" w:sz="0" w:space="0" w:color="auto"/>
        <w:bottom w:val="none" w:sz="0" w:space="0" w:color="auto"/>
        <w:right w:val="none" w:sz="0" w:space="0" w:color="auto"/>
      </w:divBdr>
    </w:div>
    <w:div w:id="636226004">
      <w:bodyDiv w:val="1"/>
      <w:marLeft w:val="0"/>
      <w:marRight w:val="0"/>
      <w:marTop w:val="0"/>
      <w:marBottom w:val="0"/>
      <w:divBdr>
        <w:top w:val="none" w:sz="0" w:space="0" w:color="auto"/>
        <w:left w:val="none" w:sz="0" w:space="0" w:color="auto"/>
        <w:bottom w:val="none" w:sz="0" w:space="0" w:color="auto"/>
        <w:right w:val="none" w:sz="0" w:space="0" w:color="auto"/>
      </w:divBdr>
    </w:div>
    <w:div w:id="646664297">
      <w:bodyDiv w:val="1"/>
      <w:marLeft w:val="0"/>
      <w:marRight w:val="0"/>
      <w:marTop w:val="0"/>
      <w:marBottom w:val="0"/>
      <w:divBdr>
        <w:top w:val="none" w:sz="0" w:space="0" w:color="auto"/>
        <w:left w:val="none" w:sz="0" w:space="0" w:color="auto"/>
        <w:bottom w:val="none" w:sz="0" w:space="0" w:color="auto"/>
        <w:right w:val="none" w:sz="0" w:space="0" w:color="auto"/>
      </w:divBdr>
    </w:div>
    <w:div w:id="649139251">
      <w:bodyDiv w:val="1"/>
      <w:marLeft w:val="0"/>
      <w:marRight w:val="0"/>
      <w:marTop w:val="0"/>
      <w:marBottom w:val="0"/>
      <w:divBdr>
        <w:top w:val="none" w:sz="0" w:space="0" w:color="auto"/>
        <w:left w:val="none" w:sz="0" w:space="0" w:color="auto"/>
        <w:bottom w:val="none" w:sz="0" w:space="0" w:color="auto"/>
        <w:right w:val="none" w:sz="0" w:space="0" w:color="auto"/>
      </w:divBdr>
    </w:div>
    <w:div w:id="672562185">
      <w:bodyDiv w:val="1"/>
      <w:marLeft w:val="0"/>
      <w:marRight w:val="0"/>
      <w:marTop w:val="0"/>
      <w:marBottom w:val="0"/>
      <w:divBdr>
        <w:top w:val="none" w:sz="0" w:space="0" w:color="auto"/>
        <w:left w:val="none" w:sz="0" w:space="0" w:color="auto"/>
        <w:bottom w:val="none" w:sz="0" w:space="0" w:color="auto"/>
        <w:right w:val="none" w:sz="0" w:space="0" w:color="auto"/>
      </w:divBdr>
    </w:div>
    <w:div w:id="692851773">
      <w:bodyDiv w:val="1"/>
      <w:marLeft w:val="0"/>
      <w:marRight w:val="0"/>
      <w:marTop w:val="0"/>
      <w:marBottom w:val="0"/>
      <w:divBdr>
        <w:top w:val="none" w:sz="0" w:space="0" w:color="auto"/>
        <w:left w:val="none" w:sz="0" w:space="0" w:color="auto"/>
        <w:bottom w:val="none" w:sz="0" w:space="0" w:color="auto"/>
        <w:right w:val="none" w:sz="0" w:space="0" w:color="auto"/>
      </w:divBdr>
    </w:div>
    <w:div w:id="700741282">
      <w:bodyDiv w:val="1"/>
      <w:marLeft w:val="0"/>
      <w:marRight w:val="0"/>
      <w:marTop w:val="0"/>
      <w:marBottom w:val="0"/>
      <w:divBdr>
        <w:top w:val="none" w:sz="0" w:space="0" w:color="auto"/>
        <w:left w:val="none" w:sz="0" w:space="0" w:color="auto"/>
        <w:bottom w:val="none" w:sz="0" w:space="0" w:color="auto"/>
        <w:right w:val="none" w:sz="0" w:space="0" w:color="auto"/>
      </w:divBdr>
    </w:div>
    <w:div w:id="707224859">
      <w:bodyDiv w:val="1"/>
      <w:marLeft w:val="0"/>
      <w:marRight w:val="0"/>
      <w:marTop w:val="0"/>
      <w:marBottom w:val="0"/>
      <w:divBdr>
        <w:top w:val="none" w:sz="0" w:space="0" w:color="auto"/>
        <w:left w:val="none" w:sz="0" w:space="0" w:color="auto"/>
        <w:bottom w:val="none" w:sz="0" w:space="0" w:color="auto"/>
        <w:right w:val="none" w:sz="0" w:space="0" w:color="auto"/>
      </w:divBdr>
    </w:div>
    <w:div w:id="733772437">
      <w:bodyDiv w:val="1"/>
      <w:marLeft w:val="0"/>
      <w:marRight w:val="0"/>
      <w:marTop w:val="0"/>
      <w:marBottom w:val="0"/>
      <w:divBdr>
        <w:top w:val="none" w:sz="0" w:space="0" w:color="auto"/>
        <w:left w:val="none" w:sz="0" w:space="0" w:color="auto"/>
        <w:bottom w:val="none" w:sz="0" w:space="0" w:color="auto"/>
        <w:right w:val="none" w:sz="0" w:space="0" w:color="auto"/>
      </w:divBdr>
      <w:divsChild>
        <w:div w:id="1695882904">
          <w:marLeft w:val="0"/>
          <w:marRight w:val="0"/>
          <w:marTop w:val="0"/>
          <w:marBottom w:val="0"/>
          <w:divBdr>
            <w:top w:val="none" w:sz="0" w:space="0" w:color="auto"/>
            <w:left w:val="none" w:sz="0" w:space="0" w:color="auto"/>
            <w:bottom w:val="none" w:sz="0" w:space="0" w:color="auto"/>
            <w:right w:val="none" w:sz="0" w:space="0" w:color="auto"/>
          </w:divBdr>
          <w:divsChild>
            <w:div w:id="185711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002410">
      <w:bodyDiv w:val="1"/>
      <w:marLeft w:val="0"/>
      <w:marRight w:val="0"/>
      <w:marTop w:val="0"/>
      <w:marBottom w:val="0"/>
      <w:divBdr>
        <w:top w:val="none" w:sz="0" w:space="0" w:color="auto"/>
        <w:left w:val="none" w:sz="0" w:space="0" w:color="auto"/>
        <w:bottom w:val="none" w:sz="0" w:space="0" w:color="auto"/>
        <w:right w:val="none" w:sz="0" w:space="0" w:color="auto"/>
      </w:divBdr>
    </w:div>
    <w:div w:id="794324198">
      <w:bodyDiv w:val="1"/>
      <w:marLeft w:val="0"/>
      <w:marRight w:val="0"/>
      <w:marTop w:val="0"/>
      <w:marBottom w:val="0"/>
      <w:divBdr>
        <w:top w:val="none" w:sz="0" w:space="0" w:color="auto"/>
        <w:left w:val="none" w:sz="0" w:space="0" w:color="auto"/>
        <w:bottom w:val="none" w:sz="0" w:space="0" w:color="auto"/>
        <w:right w:val="none" w:sz="0" w:space="0" w:color="auto"/>
      </w:divBdr>
      <w:divsChild>
        <w:div w:id="417867436">
          <w:marLeft w:val="0"/>
          <w:marRight w:val="0"/>
          <w:marTop w:val="0"/>
          <w:marBottom w:val="0"/>
          <w:divBdr>
            <w:top w:val="none" w:sz="0" w:space="0" w:color="auto"/>
            <w:left w:val="none" w:sz="0" w:space="0" w:color="auto"/>
            <w:bottom w:val="none" w:sz="0" w:space="0" w:color="auto"/>
            <w:right w:val="none" w:sz="0" w:space="0" w:color="auto"/>
          </w:divBdr>
          <w:divsChild>
            <w:div w:id="41250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940601">
      <w:bodyDiv w:val="1"/>
      <w:marLeft w:val="0"/>
      <w:marRight w:val="0"/>
      <w:marTop w:val="0"/>
      <w:marBottom w:val="0"/>
      <w:divBdr>
        <w:top w:val="none" w:sz="0" w:space="0" w:color="auto"/>
        <w:left w:val="none" w:sz="0" w:space="0" w:color="auto"/>
        <w:bottom w:val="none" w:sz="0" w:space="0" w:color="auto"/>
        <w:right w:val="none" w:sz="0" w:space="0" w:color="auto"/>
      </w:divBdr>
    </w:div>
    <w:div w:id="855383044">
      <w:bodyDiv w:val="1"/>
      <w:marLeft w:val="0"/>
      <w:marRight w:val="0"/>
      <w:marTop w:val="0"/>
      <w:marBottom w:val="0"/>
      <w:divBdr>
        <w:top w:val="none" w:sz="0" w:space="0" w:color="auto"/>
        <w:left w:val="none" w:sz="0" w:space="0" w:color="auto"/>
        <w:bottom w:val="none" w:sz="0" w:space="0" w:color="auto"/>
        <w:right w:val="none" w:sz="0" w:space="0" w:color="auto"/>
      </w:divBdr>
    </w:div>
    <w:div w:id="885720855">
      <w:bodyDiv w:val="1"/>
      <w:marLeft w:val="0"/>
      <w:marRight w:val="0"/>
      <w:marTop w:val="0"/>
      <w:marBottom w:val="0"/>
      <w:divBdr>
        <w:top w:val="none" w:sz="0" w:space="0" w:color="auto"/>
        <w:left w:val="none" w:sz="0" w:space="0" w:color="auto"/>
        <w:bottom w:val="none" w:sz="0" w:space="0" w:color="auto"/>
        <w:right w:val="none" w:sz="0" w:space="0" w:color="auto"/>
      </w:divBdr>
      <w:divsChild>
        <w:div w:id="148327102">
          <w:marLeft w:val="0"/>
          <w:marRight w:val="0"/>
          <w:marTop w:val="0"/>
          <w:marBottom w:val="0"/>
          <w:divBdr>
            <w:top w:val="none" w:sz="0" w:space="0" w:color="auto"/>
            <w:left w:val="none" w:sz="0" w:space="0" w:color="auto"/>
            <w:bottom w:val="none" w:sz="0" w:space="0" w:color="auto"/>
            <w:right w:val="none" w:sz="0" w:space="0" w:color="auto"/>
          </w:divBdr>
        </w:div>
        <w:div w:id="185099205">
          <w:marLeft w:val="0"/>
          <w:marRight w:val="0"/>
          <w:marTop w:val="0"/>
          <w:marBottom w:val="0"/>
          <w:divBdr>
            <w:top w:val="none" w:sz="0" w:space="0" w:color="auto"/>
            <w:left w:val="none" w:sz="0" w:space="0" w:color="auto"/>
            <w:bottom w:val="none" w:sz="0" w:space="0" w:color="auto"/>
            <w:right w:val="none" w:sz="0" w:space="0" w:color="auto"/>
          </w:divBdr>
        </w:div>
        <w:div w:id="313338815">
          <w:marLeft w:val="0"/>
          <w:marRight w:val="0"/>
          <w:marTop w:val="0"/>
          <w:marBottom w:val="0"/>
          <w:divBdr>
            <w:top w:val="none" w:sz="0" w:space="0" w:color="auto"/>
            <w:left w:val="none" w:sz="0" w:space="0" w:color="auto"/>
            <w:bottom w:val="none" w:sz="0" w:space="0" w:color="auto"/>
            <w:right w:val="none" w:sz="0" w:space="0" w:color="auto"/>
          </w:divBdr>
        </w:div>
        <w:div w:id="1092310906">
          <w:marLeft w:val="0"/>
          <w:marRight w:val="0"/>
          <w:marTop w:val="0"/>
          <w:marBottom w:val="0"/>
          <w:divBdr>
            <w:top w:val="none" w:sz="0" w:space="0" w:color="auto"/>
            <w:left w:val="none" w:sz="0" w:space="0" w:color="auto"/>
            <w:bottom w:val="none" w:sz="0" w:space="0" w:color="auto"/>
            <w:right w:val="none" w:sz="0" w:space="0" w:color="auto"/>
          </w:divBdr>
        </w:div>
        <w:div w:id="1907229136">
          <w:marLeft w:val="0"/>
          <w:marRight w:val="0"/>
          <w:marTop w:val="0"/>
          <w:marBottom w:val="0"/>
          <w:divBdr>
            <w:top w:val="none" w:sz="0" w:space="0" w:color="auto"/>
            <w:left w:val="none" w:sz="0" w:space="0" w:color="auto"/>
            <w:bottom w:val="none" w:sz="0" w:space="0" w:color="auto"/>
            <w:right w:val="none" w:sz="0" w:space="0" w:color="auto"/>
          </w:divBdr>
        </w:div>
      </w:divsChild>
    </w:div>
    <w:div w:id="917979803">
      <w:bodyDiv w:val="1"/>
      <w:marLeft w:val="0"/>
      <w:marRight w:val="0"/>
      <w:marTop w:val="0"/>
      <w:marBottom w:val="0"/>
      <w:divBdr>
        <w:top w:val="none" w:sz="0" w:space="0" w:color="auto"/>
        <w:left w:val="none" w:sz="0" w:space="0" w:color="auto"/>
        <w:bottom w:val="none" w:sz="0" w:space="0" w:color="auto"/>
        <w:right w:val="none" w:sz="0" w:space="0" w:color="auto"/>
      </w:divBdr>
    </w:div>
    <w:div w:id="922223559">
      <w:bodyDiv w:val="1"/>
      <w:marLeft w:val="0"/>
      <w:marRight w:val="0"/>
      <w:marTop w:val="0"/>
      <w:marBottom w:val="0"/>
      <w:divBdr>
        <w:top w:val="none" w:sz="0" w:space="0" w:color="auto"/>
        <w:left w:val="none" w:sz="0" w:space="0" w:color="auto"/>
        <w:bottom w:val="none" w:sz="0" w:space="0" w:color="auto"/>
        <w:right w:val="none" w:sz="0" w:space="0" w:color="auto"/>
      </w:divBdr>
      <w:divsChild>
        <w:div w:id="1350178198">
          <w:marLeft w:val="0"/>
          <w:marRight w:val="0"/>
          <w:marTop w:val="0"/>
          <w:marBottom w:val="0"/>
          <w:divBdr>
            <w:top w:val="none" w:sz="0" w:space="0" w:color="auto"/>
            <w:left w:val="none" w:sz="0" w:space="0" w:color="auto"/>
            <w:bottom w:val="none" w:sz="0" w:space="0" w:color="auto"/>
            <w:right w:val="none" w:sz="0" w:space="0" w:color="auto"/>
          </w:divBdr>
        </w:div>
      </w:divsChild>
    </w:div>
    <w:div w:id="944850314">
      <w:bodyDiv w:val="1"/>
      <w:marLeft w:val="0"/>
      <w:marRight w:val="0"/>
      <w:marTop w:val="0"/>
      <w:marBottom w:val="0"/>
      <w:divBdr>
        <w:top w:val="none" w:sz="0" w:space="0" w:color="auto"/>
        <w:left w:val="none" w:sz="0" w:space="0" w:color="auto"/>
        <w:bottom w:val="none" w:sz="0" w:space="0" w:color="auto"/>
        <w:right w:val="none" w:sz="0" w:space="0" w:color="auto"/>
      </w:divBdr>
    </w:div>
    <w:div w:id="1004211969">
      <w:bodyDiv w:val="1"/>
      <w:marLeft w:val="0"/>
      <w:marRight w:val="0"/>
      <w:marTop w:val="0"/>
      <w:marBottom w:val="0"/>
      <w:divBdr>
        <w:top w:val="none" w:sz="0" w:space="0" w:color="auto"/>
        <w:left w:val="none" w:sz="0" w:space="0" w:color="auto"/>
        <w:bottom w:val="none" w:sz="0" w:space="0" w:color="auto"/>
        <w:right w:val="none" w:sz="0" w:space="0" w:color="auto"/>
      </w:divBdr>
    </w:div>
    <w:div w:id="1006254060">
      <w:bodyDiv w:val="1"/>
      <w:marLeft w:val="0"/>
      <w:marRight w:val="0"/>
      <w:marTop w:val="0"/>
      <w:marBottom w:val="0"/>
      <w:divBdr>
        <w:top w:val="none" w:sz="0" w:space="0" w:color="auto"/>
        <w:left w:val="none" w:sz="0" w:space="0" w:color="auto"/>
        <w:bottom w:val="none" w:sz="0" w:space="0" w:color="auto"/>
        <w:right w:val="none" w:sz="0" w:space="0" w:color="auto"/>
      </w:divBdr>
    </w:div>
    <w:div w:id="1020006864">
      <w:bodyDiv w:val="1"/>
      <w:marLeft w:val="0"/>
      <w:marRight w:val="0"/>
      <w:marTop w:val="0"/>
      <w:marBottom w:val="0"/>
      <w:divBdr>
        <w:top w:val="none" w:sz="0" w:space="0" w:color="auto"/>
        <w:left w:val="none" w:sz="0" w:space="0" w:color="auto"/>
        <w:bottom w:val="none" w:sz="0" w:space="0" w:color="auto"/>
        <w:right w:val="none" w:sz="0" w:space="0" w:color="auto"/>
      </w:divBdr>
      <w:divsChild>
        <w:div w:id="826673391">
          <w:marLeft w:val="0"/>
          <w:marRight w:val="0"/>
          <w:marTop w:val="0"/>
          <w:marBottom w:val="0"/>
          <w:divBdr>
            <w:top w:val="none" w:sz="0" w:space="0" w:color="auto"/>
            <w:left w:val="none" w:sz="0" w:space="0" w:color="auto"/>
            <w:bottom w:val="none" w:sz="0" w:space="0" w:color="auto"/>
            <w:right w:val="none" w:sz="0" w:space="0" w:color="auto"/>
          </w:divBdr>
        </w:div>
      </w:divsChild>
    </w:div>
    <w:div w:id="1029571090">
      <w:bodyDiv w:val="1"/>
      <w:marLeft w:val="0"/>
      <w:marRight w:val="0"/>
      <w:marTop w:val="0"/>
      <w:marBottom w:val="0"/>
      <w:divBdr>
        <w:top w:val="none" w:sz="0" w:space="0" w:color="auto"/>
        <w:left w:val="none" w:sz="0" w:space="0" w:color="auto"/>
        <w:bottom w:val="none" w:sz="0" w:space="0" w:color="auto"/>
        <w:right w:val="none" w:sz="0" w:space="0" w:color="auto"/>
      </w:divBdr>
    </w:div>
    <w:div w:id="1031609430">
      <w:bodyDiv w:val="1"/>
      <w:marLeft w:val="0"/>
      <w:marRight w:val="0"/>
      <w:marTop w:val="0"/>
      <w:marBottom w:val="0"/>
      <w:divBdr>
        <w:top w:val="none" w:sz="0" w:space="0" w:color="auto"/>
        <w:left w:val="none" w:sz="0" w:space="0" w:color="auto"/>
        <w:bottom w:val="none" w:sz="0" w:space="0" w:color="auto"/>
        <w:right w:val="none" w:sz="0" w:space="0" w:color="auto"/>
      </w:divBdr>
    </w:div>
    <w:div w:id="1130130539">
      <w:bodyDiv w:val="1"/>
      <w:marLeft w:val="0"/>
      <w:marRight w:val="0"/>
      <w:marTop w:val="0"/>
      <w:marBottom w:val="0"/>
      <w:divBdr>
        <w:top w:val="none" w:sz="0" w:space="0" w:color="auto"/>
        <w:left w:val="none" w:sz="0" w:space="0" w:color="auto"/>
        <w:bottom w:val="none" w:sz="0" w:space="0" w:color="auto"/>
        <w:right w:val="none" w:sz="0" w:space="0" w:color="auto"/>
      </w:divBdr>
      <w:divsChild>
        <w:div w:id="2068723090">
          <w:marLeft w:val="0"/>
          <w:marRight w:val="0"/>
          <w:marTop w:val="0"/>
          <w:marBottom w:val="0"/>
          <w:divBdr>
            <w:top w:val="none" w:sz="0" w:space="0" w:color="auto"/>
            <w:left w:val="none" w:sz="0" w:space="0" w:color="auto"/>
            <w:bottom w:val="none" w:sz="0" w:space="0" w:color="auto"/>
            <w:right w:val="none" w:sz="0" w:space="0" w:color="auto"/>
          </w:divBdr>
        </w:div>
      </w:divsChild>
    </w:div>
    <w:div w:id="1134787042">
      <w:bodyDiv w:val="1"/>
      <w:marLeft w:val="0"/>
      <w:marRight w:val="0"/>
      <w:marTop w:val="0"/>
      <w:marBottom w:val="0"/>
      <w:divBdr>
        <w:top w:val="none" w:sz="0" w:space="0" w:color="auto"/>
        <w:left w:val="none" w:sz="0" w:space="0" w:color="auto"/>
        <w:bottom w:val="none" w:sz="0" w:space="0" w:color="auto"/>
        <w:right w:val="none" w:sz="0" w:space="0" w:color="auto"/>
      </w:divBdr>
    </w:div>
    <w:div w:id="1220550781">
      <w:bodyDiv w:val="1"/>
      <w:marLeft w:val="0"/>
      <w:marRight w:val="0"/>
      <w:marTop w:val="0"/>
      <w:marBottom w:val="0"/>
      <w:divBdr>
        <w:top w:val="none" w:sz="0" w:space="0" w:color="auto"/>
        <w:left w:val="none" w:sz="0" w:space="0" w:color="auto"/>
        <w:bottom w:val="none" w:sz="0" w:space="0" w:color="auto"/>
        <w:right w:val="none" w:sz="0" w:space="0" w:color="auto"/>
      </w:divBdr>
      <w:divsChild>
        <w:div w:id="1879539616">
          <w:marLeft w:val="0"/>
          <w:marRight w:val="0"/>
          <w:marTop w:val="0"/>
          <w:marBottom w:val="0"/>
          <w:divBdr>
            <w:top w:val="none" w:sz="0" w:space="0" w:color="auto"/>
            <w:left w:val="none" w:sz="0" w:space="0" w:color="auto"/>
            <w:bottom w:val="none" w:sz="0" w:space="0" w:color="auto"/>
            <w:right w:val="none" w:sz="0" w:space="0" w:color="auto"/>
          </w:divBdr>
          <w:divsChild>
            <w:div w:id="98462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675754">
      <w:bodyDiv w:val="1"/>
      <w:marLeft w:val="0"/>
      <w:marRight w:val="0"/>
      <w:marTop w:val="0"/>
      <w:marBottom w:val="0"/>
      <w:divBdr>
        <w:top w:val="none" w:sz="0" w:space="0" w:color="auto"/>
        <w:left w:val="none" w:sz="0" w:space="0" w:color="auto"/>
        <w:bottom w:val="none" w:sz="0" w:space="0" w:color="auto"/>
        <w:right w:val="none" w:sz="0" w:space="0" w:color="auto"/>
      </w:divBdr>
    </w:div>
    <w:div w:id="1228493585">
      <w:bodyDiv w:val="1"/>
      <w:marLeft w:val="0"/>
      <w:marRight w:val="0"/>
      <w:marTop w:val="0"/>
      <w:marBottom w:val="0"/>
      <w:divBdr>
        <w:top w:val="none" w:sz="0" w:space="0" w:color="auto"/>
        <w:left w:val="none" w:sz="0" w:space="0" w:color="auto"/>
        <w:bottom w:val="none" w:sz="0" w:space="0" w:color="auto"/>
        <w:right w:val="none" w:sz="0" w:space="0" w:color="auto"/>
      </w:divBdr>
    </w:div>
    <w:div w:id="1244991059">
      <w:bodyDiv w:val="1"/>
      <w:marLeft w:val="0"/>
      <w:marRight w:val="0"/>
      <w:marTop w:val="0"/>
      <w:marBottom w:val="0"/>
      <w:divBdr>
        <w:top w:val="none" w:sz="0" w:space="0" w:color="auto"/>
        <w:left w:val="none" w:sz="0" w:space="0" w:color="auto"/>
        <w:bottom w:val="none" w:sz="0" w:space="0" w:color="auto"/>
        <w:right w:val="none" w:sz="0" w:space="0" w:color="auto"/>
      </w:divBdr>
    </w:div>
    <w:div w:id="1259824423">
      <w:bodyDiv w:val="1"/>
      <w:marLeft w:val="0"/>
      <w:marRight w:val="0"/>
      <w:marTop w:val="0"/>
      <w:marBottom w:val="0"/>
      <w:divBdr>
        <w:top w:val="none" w:sz="0" w:space="0" w:color="auto"/>
        <w:left w:val="none" w:sz="0" w:space="0" w:color="auto"/>
        <w:bottom w:val="none" w:sz="0" w:space="0" w:color="auto"/>
        <w:right w:val="none" w:sz="0" w:space="0" w:color="auto"/>
      </w:divBdr>
    </w:div>
    <w:div w:id="1269193035">
      <w:bodyDiv w:val="1"/>
      <w:marLeft w:val="0"/>
      <w:marRight w:val="0"/>
      <w:marTop w:val="0"/>
      <w:marBottom w:val="0"/>
      <w:divBdr>
        <w:top w:val="none" w:sz="0" w:space="0" w:color="auto"/>
        <w:left w:val="none" w:sz="0" w:space="0" w:color="auto"/>
        <w:bottom w:val="none" w:sz="0" w:space="0" w:color="auto"/>
        <w:right w:val="none" w:sz="0" w:space="0" w:color="auto"/>
      </w:divBdr>
    </w:div>
    <w:div w:id="1314985961">
      <w:bodyDiv w:val="1"/>
      <w:marLeft w:val="0"/>
      <w:marRight w:val="0"/>
      <w:marTop w:val="0"/>
      <w:marBottom w:val="0"/>
      <w:divBdr>
        <w:top w:val="none" w:sz="0" w:space="0" w:color="auto"/>
        <w:left w:val="none" w:sz="0" w:space="0" w:color="auto"/>
        <w:bottom w:val="none" w:sz="0" w:space="0" w:color="auto"/>
        <w:right w:val="none" w:sz="0" w:space="0" w:color="auto"/>
      </w:divBdr>
    </w:div>
    <w:div w:id="1317497334">
      <w:bodyDiv w:val="1"/>
      <w:marLeft w:val="0"/>
      <w:marRight w:val="0"/>
      <w:marTop w:val="0"/>
      <w:marBottom w:val="0"/>
      <w:divBdr>
        <w:top w:val="none" w:sz="0" w:space="0" w:color="auto"/>
        <w:left w:val="none" w:sz="0" w:space="0" w:color="auto"/>
        <w:bottom w:val="none" w:sz="0" w:space="0" w:color="auto"/>
        <w:right w:val="none" w:sz="0" w:space="0" w:color="auto"/>
      </w:divBdr>
    </w:div>
    <w:div w:id="1347560792">
      <w:bodyDiv w:val="1"/>
      <w:marLeft w:val="0"/>
      <w:marRight w:val="0"/>
      <w:marTop w:val="0"/>
      <w:marBottom w:val="0"/>
      <w:divBdr>
        <w:top w:val="none" w:sz="0" w:space="0" w:color="auto"/>
        <w:left w:val="none" w:sz="0" w:space="0" w:color="auto"/>
        <w:bottom w:val="none" w:sz="0" w:space="0" w:color="auto"/>
        <w:right w:val="none" w:sz="0" w:space="0" w:color="auto"/>
      </w:divBdr>
    </w:div>
    <w:div w:id="1393499784">
      <w:bodyDiv w:val="1"/>
      <w:marLeft w:val="0"/>
      <w:marRight w:val="0"/>
      <w:marTop w:val="0"/>
      <w:marBottom w:val="0"/>
      <w:divBdr>
        <w:top w:val="none" w:sz="0" w:space="0" w:color="auto"/>
        <w:left w:val="none" w:sz="0" w:space="0" w:color="auto"/>
        <w:bottom w:val="none" w:sz="0" w:space="0" w:color="auto"/>
        <w:right w:val="none" w:sz="0" w:space="0" w:color="auto"/>
      </w:divBdr>
    </w:div>
    <w:div w:id="1464499992">
      <w:bodyDiv w:val="1"/>
      <w:marLeft w:val="0"/>
      <w:marRight w:val="0"/>
      <w:marTop w:val="0"/>
      <w:marBottom w:val="0"/>
      <w:divBdr>
        <w:top w:val="none" w:sz="0" w:space="0" w:color="auto"/>
        <w:left w:val="none" w:sz="0" w:space="0" w:color="auto"/>
        <w:bottom w:val="none" w:sz="0" w:space="0" w:color="auto"/>
        <w:right w:val="none" w:sz="0" w:space="0" w:color="auto"/>
      </w:divBdr>
    </w:div>
    <w:div w:id="1489318966">
      <w:bodyDiv w:val="1"/>
      <w:marLeft w:val="0"/>
      <w:marRight w:val="0"/>
      <w:marTop w:val="0"/>
      <w:marBottom w:val="0"/>
      <w:divBdr>
        <w:top w:val="none" w:sz="0" w:space="0" w:color="auto"/>
        <w:left w:val="none" w:sz="0" w:space="0" w:color="auto"/>
        <w:bottom w:val="none" w:sz="0" w:space="0" w:color="auto"/>
        <w:right w:val="none" w:sz="0" w:space="0" w:color="auto"/>
      </w:divBdr>
      <w:divsChild>
        <w:div w:id="1598706956">
          <w:marLeft w:val="0"/>
          <w:marRight w:val="0"/>
          <w:marTop w:val="0"/>
          <w:marBottom w:val="0"/>
          <w:divBdr>
            <w:top w:val="none" w:sz="0" w:space="0" w:color="auto"/>
            <w:left w:val="none" w:sz="0" w:space="0" w:color="auto"/>
            <w:bottom w:val="none" w:sz="0" w:space="0" w:color="auto"/>
            <w:right w:val="none" w:sz="0" w:space="0" w:color="auto"/>
          </w:divBdr>
        </w:div>
      </w:divsChild>
    </w:div>
    <w:div w:id="1511986500">
      <w:bodyDiv w:val="1"/>
      <w:marLeft w:val="0"/>
      <w:marRight w:val="0"/>
      <w:marTop w:val="0"/>
      <w:marBottom w:val="0"/>
      <w:divBdr>
        <w:top w:val="none" w:sz="0" w:space="0" w:color="auto"/>
        <w:left w:val="none" w:sz="0" w:space="0" w:color="auto"/>
        <w:bottom w:val="none" w:sz="0" w:space="0" w:color="auto"/>
        <w:right w:val="none" w:sz="0" w:space="0" w:color="auto"/>
      </w:divBdr>
    </w:div>
    <w:div w:id="1550069845">
      <w:bodyDiv w:val="1"/>
      <w:marLeft w:val="0"/>
      <w:marRight w:val="0"/>
      <w:marTop w:val="0"/>
      <w:marBottom w:val="0"/>
      <w:divBdr>
        <w:top w:val="none" w:sz="0" w:space="0" w:color="auto"/>
        <w:left w:val="none" w:sz="0" w:space="0" w:color="auto"/>
        <w:bottom w:val="none" w:sz="0" w:space="0" w:color="auto"/>
        <w:right w:val="none" w:sz="0" w:space="0" w:color="auto"/>
      </w:divBdr>
    </w:div>
    <w:div w:id="1639383467">
      <w:bodyDiv w:val="1"/>
      <w:marLeft w:val="0"/>
      <w:marRight w:val="0"/>
      <w:marTop w:val="0"/>
      <w:marBottom w:val="0"/>
      <w:divBdr>
        <w:top w:val="none" w:sz="0" w:space="0" w:color="auto"/>
        <w:left w:val="none" w:sz="0" w:space="0" w:color="auto"/>
        <w:bottom w:val="none" w:sz="0" w:space="0" w:color="auto"/>
        <w:right w:val="none" w:sz="0" w:space="0" w:color="auto"/>
      </w:divBdr>
    </w:div>
    <w:div w:id="1641575133">
      <w:bodyDiv w:val="1"/>
      <w:marLeft w:val="0"/>
      <w:marRight w:val="0"/>
      <w:marTop w:val="0"/>
      <w:marBottom w:val="0"/>
      <w:divBdr>
        <w:top w:val="none" w:sz="0" w:space="0" w:color="auto"/>
        <w:left w:val="none" w:sz="0" w:space="0" w:color="auto"/>
        <w:bottom w:val="none" w:sz="0" w:space="0" w:color="auto"/>
        <w:right w:val="none" w:sz="0" w:space="0" w:color="auto"/>
      </w:divBdr>
    </w:div>
    <w:div w:id="1664971339">
      <w:bodyDiv w:val="1"/>
      <w:marLeft w:val="0"/>
      <w:marRight w:val="0"/>
      <w:marTop w:val="0"/>
      <w:marBottom w:val="0"/>
      <w:divBdr>
        <w:top w:val="none" w:sz="0" w:space="0" w:color="auto"/>
        <w:left w:val="none" w:sz="0" w:space="0" w:color="auto"/>
        <w:bottom w:val="none" w:sz="0" w:space="0" w:color="auto"/>
        <w:right w:val="none" w:sz="0" w:space="0" w:color="auto"/>
      </w:divBdr>
    </w:div>
    <w:div w:id="1669481281">
      <w:bodyDiv w:val="1"/>
      <w:marLeft w:val="0"/>
      <w:marRight w:val="0"/>
      <w:marTop w:val="0"/>
      <w:marBottom w:val="0"/>
      <w:divBdr>
        <w:top w:val="none" w:sz="0" w:space="0" w:color="auto"/>
        <w:left w:val="none" w:sz="0" w:space="0" w:color="auto"/>
        <w:bottom w:val="none" w:sz="0" w:space="0" w:color="auto"/>
        <w:right w:val="none" w:sz="0" w:space="0" w:color="auto"/>
      </w:divBdr>
    </w:div>
    <w:div w:id="1681852917">
      <w:bodyDiv w:val="1"/>
      <w:marLeft w:val="0"/>
      <w:marRight w:val="0"/>
      <w:marTop w:val="0"/>
      <w:marBottom w:val="0"/>
      <w:divBdr>
        <w:top w:val="none" w:sz="0" w:space="0" w:color="auto"/>
        <w:left w:val="none" w:sz="0" w:space="0" w:color="auto"/>
        <w:bottom w:val="none" w:sz="0" w:space="0" w:color="auto"/>
        <w:right w:val="none" w:sz="0" w:space="0" w:color="auto"/>
      </w:divBdr>
    </w:div>
    <w:div w:id="1738673154">
      <w:bodyDiv w:val="1"/>
      <w:marLeft w:val="0"/>
      <w:marRight w:val="0"/>
      <w:marTop w:val="0"/>
      <w:marBottom w:val="0"/>
      <w:divBdr>
        <w:top w:val="none" w:sz="0" w:space="0" w:color="auto"/>
        <w:left w:val="none" w:sz="0" w:space="0" w:color="auto"/>
        <w:bottom w:val="none" w:sz="0" w:space="0" w:color="auto"/>
        <w:right w:val="none" w:sz="0" w:space="0" w:color="auto"/>
      </w:divBdr>
    </w:div>
    <w:div w:id="1770466044">
      <w:bodyDiv w:val="1"/>
      <w:marLeft w:val="0"/>
      <w:marRight w:val="0"/>
      <w:marTop w:val="0"/>
      <w:marBottom w:val="0"/>
      <w:divBdr>
        <w:top w:val="none" w:sz="0" w:space="0" w:color="auto"/>
        <w:left w:val="none" w:sz="0" w:space="0" w:color="auto"/>
        <w:bottom w:val="none" w:sz="0" w:space="0" w:color="auto"/>
        <w:right w:val="none" w:sz="0" w:space="0" w:color="auto"/>
      </w:divBdr>
    </w:div>
    <w:div w:id="1774011187">
      <w:bodyDiv w:val="1"/>
      <w:marLeft w:val="0"/>
      <w:marRight w:val="0"/>
      <w:marTop w:val="0"/>
      <w:marBottom w:val="0"/>
      <w:divBdr>
        <w:top w:val="none" w:sz="0" w:space="0" w:color="auto"/>
        <w:left w:val="none" w:sz="0" w:space="0" w:color="auto"/>
        <w:bottom w:val="none" w:sz="0" w:space="0" w:color="auto"/>
        <w:right w:val="none" w:sz="0" w:space="0" w:color="auto"/>
      </w:divBdr>
    </w:div>
    <w:div w:id="1774746281">
      <w:bodyDiv w:val="1"/>
      <w:marLeft w:val="0"/>
      <w:marRight w:val="0"/>
      <w:marTop w:val="0"/>
      <w:marBottom w:val="0"/>
      <w:divBdr>
        <w:top w:val="none" w:sz="0" w:space="0" w:color="auto"/>
        <w:left w:val="none" w:sz="0" w:space="0" w:color="auto"/>
        <w:bottom w:val="none" w:sz="0" w:space="0" w:color="auto"/>
        <w:right w:val="none" w:sz="0" w:space="0" w:color="auto"/>
      </w:divBdr>
      <w:divsChild>
        <w:div w:id="1692953000">
          <w:marLeft w:val="0"/>
          <w:marRight w:val="0"/>
          <w:marTop w:val="0"/>
          <w:marBottom w:val="0"/>
          <w:divBdr>
            <w:top w:val="none" w:sz="0" w:space="0" w:color="auto"/>
            <w:left w:val="none" w:sz="0" w:space="0" w:color="auto"/>
            <w:bottom w:val="none" w:sz="0" w:space="0" w:color="auto"/>
            <w:right w:val="none" w:sz="0" w:space="0" w:color="auto"/>
          </w:divBdr>
          <w:divsChild>
            <w:div w:id="74313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411544">
      <w:bodyDiv w:val="1"/>
      <w:marLeft w:val="0"/>
      <w:marRight w:val="0"/>
      <w:marTop w:val="0"/>
      <w:marBottom w:val="0"/>
      <w:divBdr>
        <w:top w:val="none" w:sz="0" w:space="0" w:color="auto"/>
        <w:left w:val="none" w:sz="0" w:space="0" w:color="auto"/>
        <w:bottom w:val="none" w:sz="0" w:space="0" w:color="auto"/>
        <w:right w:val="none" w:sz="0" w:space="0" w:color="auto"/>
      </w:divBdr>
    </w:div>
    <w:div w:id="1788307546">
      <w:bodyDiv w:val="1"/>
      <w:marLeft w:val="0"/>
      <w:marRight w:val="0"/>
      <w:marTop w:val="0"/>
      <w:marBottom w:val="0"/>
      <w:divBdr>
        <w:top w:val="none" w:sz="0" w:space="0" w:color="auto"/>
        <w:left w:val="none" w:sz="0" w:space="0" w:color="auto"/>
        <w:bottom w:val="none" w:sz="0" w:space="0" w:color="auto"/>
        <w:right w:val="none" w:sz="0" w:space="0" w:color="auto"/>
      </w:divBdr>
    </w:div>
    <w:div w:id="1810394194">
      <w:bodyDiv w:val="1"/>
      <w:marLeft w:val="0"/>
      <w:marRight w:val="0"/>
      <w:marTop w:val="0"/>
      <w:marBottom w:val="0"/>
      <w:divBdr>
        <w:top w:val="none" w:sz="0" w:space="0" w:color="auto"/>
        <w:left w:val="none" w:sz="0" w:space="0" w:color="auto"/>
        <w:bottom w:val="none" w:sz="0" w:space="0" w:color="auto"/>
        <w:right w:val="none" w:sz="0" w:space="0" w:color="auto"/>
      </w:divBdr>
    </w:div>
    <w:div w:id="1838380659">
      <w:bodyDiv w:val="1"/>
      <w:marLeft w:val="0"/>
      <w:marRight w:val="0"/>
      <w:marTop w:val="0"/>
      <w:marBottom w:val="0"/>
      <w:divBdr>
        <w:top w:val="none" w:sz="0" w:space="0" w:color="auto"/>
        <w:left w:val="none" w:sz="0" w:space="0" w:color="auto"/>
        <w:bottom w:val="none" w:sz="0" w:space="0" w:color="auto"/>
        <w:right w:val="none" w:sz="0" w:space="0" w:color="auto"/>
      </w:divBdr>
    </w:div>
    <w:div w:id="1847212552">
      <w:bodyDiv w:val="1"/>
      <w:marLeft w:val="0"/>
      <w:marRight w:val="0"/>
      <w:marTop w:val="0"/>
      <w:marBottom w:val="0"/>
      <w:divBdr>
        <w:top w:val="none" w:sz="0" w:space="0" w:color="auto"/>
        <w:left w:val="none" w:sz="0" w:space="0" w:color="auto"/>
        <w:bottom w:val="none" w:sz="0" w:space="0" w:color="auto"/>
        <w:right w:val="none" w:sz="0" w:space="0" w:color="auto"/>
      </w:divBdr>
    </w:div>
    <w:div w:id="1916669015">
      <w:bodyDiv w:val="1"/>
      <w:marLeft w:val="0"/>
      <w:marRight w:val="0"/>
      <w:marTop w:val="0"/>
      <w:marBottom w:val="0"/>
      <w:divBdr>
        <w:top w:val="none" w:sz="0" w:space="0" w:color="auto"/>
        <w:left w:val="none" w:sz="0" w:space="0" w:color="auto"/>
        <w:bottom w:val="none" w:sz="0" w:space="0" w:color="auto"/>
        <w:right w:val="none" w:sz="0" w:space="0" w:color="auto"/>
      </w:divBdr>
    </w:div>
    <w:div w:id="1917590286">
      <w:bodyDiv w:val="1"/>
      <w:marLeft w:val="0"/>
      <w:marRight w:val="0"/>
      <w:marTop w:val="0"/>
      <w:marBottom w:val="0"/>
      <w:divBdr>
        <w:top w:val="none" w:sz="0" w:space="0" w:color="auto"/>
        <w:left w:val="none" w:sz="0" w:space="0" w:color="auto"/>
        <w:bottom w:val="none" w:sz="0" w:space="0" w:color="auto"/>
        <w:right w:val="none" w:sz="0" w:space="0" w:color="auto"/>
      </w:divBdr>
    </w:div>
    <w:div w:id="1936400514">
      <w:bodyDiv w:val="1"/>
      <w:marLeft w:val="0"/>
      <w:marRight w:val="0"/>
      <w:marTop w:val="0"/>
      <w:marBottom w:val="0"/>
      <w:divBdr>
        <w:top w:val="none" w:sz="0" w:space="0" w:color="auto"/>
        <w:left w:val="none" w:sz="0" w:space="0" w:color="auto"/>
        <w:bottom w:val="none" w:sz="0" w:space="0" w:color="auto"/>
        <w:right w:val="none" w:sz="0" w:space="0" w:color="auto"/>
      </w:divBdr>
    </w:div>
    <w:div w:id="1944610170">
      <w:bodyDiv w:val="1"/>
      <w:marLeft w:val="0"/>
      <w:marRight w:val="0"/>
      <w:marTop w:val="0"/>
      <w:marBottom w:val="0"/>
      <w:divBdr>
        <w:top w:val="none" w:sz="0" w:space="0" w:color="auto"/>
        <w:left w:val="none" w:sz="0" w:space="0" w:color="auto"/>
        <w:bottom w:val="none" w:sz="0" w:space="0" w:color="auto"/>
        <w:right w:val="none" w:sz="0" w:space="0" w:color="auto"/>
      </w:divBdr>
    </w:div>
    <w:div w:id="1982880211">
      <w:bodyDiv w:val="1"/>
      <w:marLeft w:val="0"/>
      <w:marRight w:val="0"/>
      <w:marTop w:val="0"/>
      <w:marBottom w:val="0"/>
      <w:divBdr>
        <w:top w:val="none" w:sz="0" w:space="0" w:color="auto"/>
        <w:left w:val="none" w:sz="0" w:space="0" w:color="auto"/>
        <w:bottom w:val="none" w:sz="0" w:space="0" w:color="auto"/>
        <w:right w:val="none" w:sz="0" w:space="0" w:color="auto"/>
      </w:divBdr>
    </w:div>
    <w:div w:id="2009749244">
      <w:bodyDiv w:val="1"/>
      <w:marLeft w:val="0"/>
      <w:marRight w:val="0"/>
      <w:marTop w:val="0"/>
      <w:marBottom w:val="0"/>
      <w:divBdr>
        <w:top w:val="none" w:sz="0" w:space="0" w:color="auto"/>
        <w:left w:val="none" w:sz="0" w:space="0" w:color="auto"/>
        <w:bottom w:val="none" w:sz="0" w:space="0" w:color="auto"/>
        <w:right w:val="none" w:sz="0" w:space="0" w:color="auto"/>
      </w:divBdr>
    </w:div>
    <w:div w:id="2015957214">
      <w:bodyDiv w:val="1"/>
      <w:marLeft w:val="0"/>
      <w:marRight w:val="0"/>
      <w:marTop w:val="0"/>
      <w:marBottom w:val="0"/>
      <w:divBdr>
        <w:top w:val="none" w:sz="0" w:space="0" w:color="auto"/>
        <w:left w:val="none" w:sz="0" w:space="0" w:color="auto"/>
        <w:bottom w:val="none" w:sz="0" w:space="0" w:color="auto"/>
        <w:right w:val="none" w:sz="0" w:space="0" w:color="auto"/>
      </w:divBdr>
    </w:div>
    <w:div w:id="2030713639">
      <w:bodyDiv w:val="1"/>
      <w:marLeft w:val="0"/>
      <w:marRight w:val="0"/>
      <w:marTop w:val="0"/>
      <w:marBottom w:val="0"/>
      <w:divBdr>
        <w:top w:val="none" w:sz="0" w:space="0" w:color="auto"/>
        <w:left w:val="none" w:sz="0" w:space="0" w:color="auto"/>
        <w:bottom w:val="none" w:sz="0" w:space="0" w:color="auto"/>
        <w:right w:val="none" w:sz="0" w:space="0" w:color="auto"/>
      </w:divBdr>
      <w:divsChild>
        <w:div w:id="705104546">
          <w:marLeft w:val="0"/>
          <w:marRight w:val="0"/>
          <w:marTop w:val="0"/>
          <w:marBottom w:val="0"/>
          <w:divBdr>
            <w:top w:val="none" w:sz="0" w:space="0" w:color="auto"/>
            <w:left w:val="none" w:sz="0" w:space="0" w:color="auto"/>
            <w:bottom w:val="none" w:sz="0" w:space="0" w:color="auto"/>
            <w:right w:val="none" w:sz="0" w:space="0" w:color="auto"/>
          </w:divBdr>
        </w:div>
      </w:divsChild>
    </w:div>
    <w:div w:id="2042896033">
      <w:bodyDiv w:val="1"/>
      <w:marLeft w:val="0"/>
      <w:marRight w:val="0"/>
      <w:marTop w:val="0"/>
      <w:marBottom w:val="0"/>
      <w:divBdr>
        <w:top w:val="none" w:sz="0" w:space="0" w:color="auto"/>
        <w:left w:val="none" w:sz="0" w:space="0" w:color="auto"/>
        <w:bottom w:val="none" w:sz="0" w:space="0" w:color="auto"/>
        <w:right w:val="none" w:sz="0" w:space="0" w:color="auto"/>
      </w:divBdr>
    </w:div>
    <w:div w:id="2045013594">
      <w:bodyDiv w:val="1"/>
      <w:marLeft w:val="0"/>
      <w:marRight w:val="0"/>
      <w:marTop w:val="0"/>
      <w:marBottom w:val="0"/>
      <w:divBdr>
        <w:top w:val="none" w:sz="0" w:space="0" w:color="auto"/>
        <w:left w:val="none" w:sz="0" w:space="0" w:color="auto"/>
        <w:bottom w:val="none" w:sz="0" w:space="0" w:color="auto"/>
        <w:right w:val="none" w:sz="0" w:space="0" w:color="auto"/>
      </w:divBdr>
    </w:div>
    <w:div w:id="2061053423">
      <w:bodyDiv w:val="1"/>
      <w:marLeft w:val="0"/>
      <w:marRight w:val="0"/>
      <w:marTop w:val="0"/>
      <w:marBottom w:val="0"/>
      <w:divBdr>
        <w:top w:val="none" w:sz="0" w:space="0" w:color="auto"/>
        <w:left w:val="none" w:sz="0" w:space="0" w:color="auto"/>
        <w:bottom w:val="none" w:sz="0" w:space="0" w:color="auto"/>
        <w:right w:val="none" w:sz="0" w:space="0" w:color="auto"/>
      </w:divBdr>
    </w:div>
    <w:div w:id="2111731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omments" Target="comments.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chart" Target="charts/chart1.xml"/><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image" Target="media/image20.emf"/><Relationship Id="rId42" Type="http://schemas.openxmlformats.org/officeDocument/2006/relationships/chart" Target="charts/chart4.xml"/><Relationship Id="rId47" Type="http://schemas.openxmlformats.org/officeDocument/2006/relationships/chart" Target="charts/chart9.xml"/><Relationship Id="rId50" Type="http://schemas.openxmlformats.org/officeDocument/2006/relationships/chart" Target="charts/chart12.xml"/><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image" Target="media/image4.emf"/><Relationship Id="rId25" Type="http://schemas.openxmlformats.org/officeDocument/2006/relationships/image" Target="media/image12.jpeg"/><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chart" Target="charts/chart8.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emf"/><Relationship Id="rId41"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chart" Target="charts/chart2.xml"/><Relationship Id="rId45" Type="http://schemas.openxmlformats.org/officeDocument/2006/relationships/chart" Target="charts/chart7.xml"/><Relationship Id="rId53"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2.emf"/><Relationship Id="rId49" Type="http://schemas.openxmlformats.org/officeDocument/2006/relationships/chart" Target="charts/chart11.xml"/><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header" Target="header2.xml"/><Relationship Id="rId44" Type="http://schemas.openxmlformats.org/officeDocument/2006/relationships/chart" Target="charts/chart6.xml"/><Relationship Id="rId52"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microsoft.com/office/2011/relationships/commentsExtended" Target="commentsExtended.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1.emf"/><Relationship Id="rId43" Type="http://schemas.openxmlformats.org/officeDocument/2006/relationships/chart" Target="charts/chart5.xml"/><Relationship Id="rId48" Type="http://schemas.openxmlformats.org/officeDocument/2006/relationships/chart" Target="charts/chart10.xml"/><Relationship Id="rId8" Type="http://schemas.openxmlformats.org/officeDocument/2006/relationships/footnotes" Target="footnotes.xml"/><Relationship Id="rId51" Type="http://schemas.openxmlformats.org/officeDocument/2006/relationships/chart" Target="charts/chart13.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BLOVELL\Templates\26_01_SD08.dot"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prodds.ntnl\shared\NE\NEW\Groups\FP_EM_GWCL\Environment%20Management\Monitoring\Water\Groundwater\Minewaters\2METAL%20MINES\3North\3%20West%20Allen\1%20Barney%20Craig\Data\2014%20Barney%20Craig%20loading%20data.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prodds.ntnl\shared\NE\NEW\Groups\FP_EM_GWCL\Environment%20Management\Monitoring\Water\Groundwater\Minewaters\2METAL%20MINES\3North\3%20West%20Allen\1%20Barney%20Craig\Data\2014%20Barney%20Craig%20loading%20data.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prodds.ntnl\shared\NE\NEW\Groups\FP_EM_GWCL\Environment%20Management\Monitoring\Water\Groundwater\Minewaters\2METAL%20MINES\3North\3%20West%20Allen\1%20Barney%20Craig\Data\2014%20Barney%20Craig%20loading%20data.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prodds.ntnl\shared\NE\NEW\Groups\FP_EM_GWCL\Environment%20Management\Monitoring\Water\Groundwater\Minewaters\2METAL%20MINES\3North\3%20West%20Allen\1%20Barney%20Craig\Data\2014%20Barney%20Craig%20loading%20data.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prodds.ntnl\shared\NE\NEW\Groups\FP_EM_GWCL\Environment%20Management\Monitoring\Water\Groundwater\Minewaters\2METAL%20MINES\3North\3%20West%20Allen\1%20Barney%20Craig\Data\2014%20Barney%20Craig%20loading%20data.xlsx" TargetMode="External"/><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3" Type="http://schemas.openxmlformats.org/officeDocument/2006/relationships/oleObject" Target="file:///\\prodds.ntnl\shared\NE\NEW\Groups\FP_EM_GWCL\Environment%20Management\Monitoring\Water\Groundwater\Minewaters\2METAL%20MINES\3North\3%20West%20Allen\1%20Barney%20Craig\Data\2014%20Barney%20Craig%20loading%20data.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prodds.ntnl\shared\NE\NEW\Groups\FP_EM_GWCL\Environment%20Management\Monitoring\Water\Groundwater\Minewaters\2METAL%20MINES\3North\3%20West%20Allen\1%20Barney%20Craig\Data\2014%20Barney%20Craig%20loading%20data.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prodds.ntnl\shared\NE\NEW\Groups\FP_EM_GWCL\Environment%20Management\Monitoring\Water\Groundwater\Minewaters\2METAL%20MINES\3North\3%20West%20Allen\1%20Barney%20Craig\Data\2014%20Barney%20Craig%20loading%20da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prodds.ntnl\shared\NE\NEW\Groups\FP_EM_GWCL\Environment%20Management\Monitoring\Water\Groundwater\Minewaters\2METAL%20MINES\3North\3%20West%20Allen\1%20Barney%20Craig\Data\2014%20Barney%20Craig%20loading%20dat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prodds.ntnl\shared\NE\NEW\Groups\FP_EM_GWCL\Environment%20Management\Monitoring\Water\Groundwater\Minewaters\2METAL%20MINES\3North\3%20West%20Allen\1%20Barney%20Craig\Data\2014%20Barney%20Craig%20loading%20dat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prodds.ntnl\shared\NE\NEW\Groups\FP_EM_GWCL\Environment%20Management\Monitoring\Water\Groundwater\Minewaters\2METAL%20MINES\3North\3%20West%20Allen\1%20Barney%20Craig\Data\2014%20Barney%20Craig%20loading%20dat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prodds.ntnl\shared\NE\NEW\Groups\FP_EM_GWCL\Environment%20Management\Monitoring\Water\Groundwater\Minewaters\2METAL%20MINES\3North\3%20West%20Allen\1%20Barney%20Craig\Data\2014%20Barney%20Craig%20loading%20data.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prodds.ntnl\shared\NE\NEW\Groups\FP_EM_GWCL\Environment%20Management\Monitoring\Water\Groundwater\Minewaters\2METAL%20MINES\3North\3%20West%20Allen\1%20Barney%20Craig\Data\2014%20Barney%20Craig%20loading%20data.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Zinc and PNEC load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'Zn treatment tables'!$Q$2</c:f>
              <c:strCache>
                <c:ptCount val="1"/>
                <c:pt idx="0">
                  <c:v>PNEC Load kg/day</c:v>
                </c:pt>
              </c:strCache>
            </c:strRef>
          </c:tx>
          <c:spPr>
            <a:ln w="28575" cap="rnd">
              <a:solidFill>
                <a:schemeClr val="accent1"/>
              </a:solidFill>
              <a:round/>
            </a:ln>
            <a:effectLst/>
          </c:spPr>
          <c:marker>
            <c:symbol val="none"/>
          </c:marker>
          <c:cat>
            <c:numRef>
              <c:f>'Zn treatment tables'!$B$3:$B$14</c:f>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f>'Zn treatment tables'!$Q$3:$Q$14</c:f>
              <c:numCache>
                <c:formatCode>0.00</c:formatCode>
                <c:ptCount val="12"/>
                <c:pt idx="0">
                  <c:v>0.12596651237341447</c:v>
                </c:pt>
                <c:pt idx="1">
                  <c:v>0.17503576504798829</c:v>
                </c:pt>
                <c:pt idx="2">
                  <c:v>0.16779207453026854</c:v>
                </c:pt>
                <c:pt idx="3">
                  <c:v>0.24099327978228383</c:v>
                </c:pt>
                <c:pt idx="4">
                  <c:v>0.42124987563042027</c:v>
                </c:pt>
                <c:pt idx="5">
                  <c:v>0.40011604685975588</c:v>
                </c:pt>
                <c:pt idx="6">
                  <c:v>0.39841091989317745</c:v>
                </c:pt>
                <c:pt idx="7">
                  <c:v>0.99280006685035616</c:v>
                </c:pt>
                <c:pt idx="8">
                  <c:v>0.97196800443291609</c:v>
                </c:pt>
                <c:pt idx="9">
                  <c:v>3.0217032953217751</c:v>
                </c:pt>
                <c:pt idx="10">
                  <c:v>7.4750897061251802</c:v>
                </c:pt>
                <c:pt idx="11">
                  <c:v>9.1924774244180565</c:v>
                </c:pt>
              </c:numCache>
            </c:numRef>
          </c:val>
          <c:smooth val="0"/>
          <c:extLst>
            <c:ext xmlns:c16="http://schemas.microsoft.com/office/drawing/2014/chart" uri="{C3380CC4-5D6E-409C-BE32-E72D297353CC}">
              <c16:uniqueId val="{00000000-A6C6-488B-A3B8-EE1FA1F5A734}"/>
            </c:ext>
          </c:extLst>
        </c:ser>
        <c:ser>
          <c:idx val="1"/>
          <c:order val="1"/>
          <c:tx>
            <c:strRef>
              <c:f>'Zn treatment tables'!$Q$17</c:f>
              <c:strCache>
                <c:ptCount val="1"/>
                <c:pt idx="0">
                  <c:v>Load kg/day - no treatment</c:v>
                </c:pt>
              </c:strCache>
            </c:strRef>
          </c:tx>
          <c:spPr>
            <a:ln w="28575" cap="rnd">
              <a:solidFill>
                <a:schemeClr val="accent2"/>
              </a:solidFill>
              <a:round/>
            </a:ln>
            <a:effectLst/>
          </c:spPr>
          <c:marker>
            <c:symbol val="none"/>
          </c:marker>
          <c:cat>
            <c:numRef>
              <c:f>'Zn treatment tables'!$B$3:$B$14</c:f>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f>'Zn treatment tables'!$Q$18:$Q$29</c:f>
              <c:numCache>
                <c:formatCode>0.00</c:formatCode>
                <c:ptCount val="12"/>
                <c:pt idx="0">
                  <c:v>1.6015104</c:v>
                </c:pt>
                <c:pt idx="1">
                  <c:v>2.0779199999999998</c:v>
                </c:pt>
                <c:pt idx="2">
                  <c:v>2.5855199999999998</c:v>
                </c:pt>
                <c:pt idx="3">
                  <c:v>3.2292000000000001</c:v>
                </c:pt>
                <c:pt idx="4">
                  <c:v>6.7402367999999999</c:v>
                </c:pt>
                <c:pt idx="5">
                  <c:v>7.6295520000000003</c:v>
                </c:pt>
                <c:pt idx="6">
                  <c:v>6.0796223999999999</c:v>
                </c:pt>
                <c:pt idx="7">
                  <c:v>12.656736</c:v>
                </c:pt>
                <c:pt idx="8">
                  <c:v>14.6885184</c:v>
                </c:pt>
                <c:pt idx="9">
                  <c:v>17.408908799999999</c:v>
                </c:pt>
                <c:pt idx="10">
                  <c:v>40.2840864</c:v>
                </c:pt>
                <c:pt idx="11">
                  <c:v>49.583145600000002</c:v>
                </c:pt>
              </c:numCache>
            </c:numRef>
          </c:val>
          <c:smooth val="0"/>
          <c:extLst>
            <c:ext xmlns:c16="http://schemas.microsoft.com/office/drawing/2014/chart" uri="{C3380CC4-5D6E-409C-BE32-E72D297353CC}">
              <c16:uniqueId val="{00000001-A6C6-488B-A3B8-EE1FA1F5A734}"/>
            </c:ext>
          </c:extLst>
        </c:ser>
        <c:dLbls>
          <c:showLegendKey val="0"/>
          <c:showVal val="0"/>
          <c:showCatName val="0"/>
          <c:showSerName val="0"/>
          <c:showPercent val="0"/>
          <c:showBubbleSize val="0"/>
        </c:dLbls>
        <c:smooth val="0"/>
        <c:axId val="2121144"/>
        <c:axId val="350447656"/>
        <c:extLst>
          <c:ext xmlns:c15="http://schemas.microsoft.com/office/drawing/2012/chart" uri="{02D57815-91ED-43cb-92C2-25804820EDAC}">
            <c15:filteredLineSeries>
              <c15:ser>
                <c:idx val="2"/>
                <c:order val="2"/>
                <c:tx>
                  <c:strRef>
                    <c:extLst>
                      <c:ext uri="{02D57815-91ED-43cb-92C2-25804820EDAC}">
                        <c15:formulaRef>
                          <c15:sqref>'Zn treatment tables'!$Q$32</c15:sqref>
                        </c15:formulaRef>
                      </c:ext>
                    </c:extLst>
                    <c:strCache>
                      <c:ptCount val="1"/>
                      <c:pt idx="0">
                        <c:v>Load kg/day - Barney Craig (95%)</c:v>
                      </c:pt>
                    </c:strCache>
                  </c:strRef>
                </c:tx>
                <c:spPr>
                  <a:ln w="28575" cap="rnd">
                    <a:solidFill>
                      <a:schemeClr val="accent3"/>
                    </a:solidFill>
                    <a:round/>
                  </a:ln>
                  <a:effectLst/>
                </c:spPr>
                <c:marker>
                  <c:symbol val="none"/>
                </c:marker>
                <c:val>
                  <c:numRef>
                    <c:extLst>
                      <c:ext uri="{02D57815-91ED-43cb-92C2-25804820EDAC}">
                        <c15:formulaRef>
                          <c15:sqref>'Zn treatment tables'!$Q$33:$Q$44</c15:sqref>
                        </c15:formulaRef>
                      </c:ext>
                    </c:extLst>
                    <c:numCache>
                      <c:formatCode>0.00</c:formatCode>
                      <c:ptCount val="12"/>
                      <c:pt idx="0">
                        <c:v>2.4191999999999998E-2</c:v>
                      </c:pt>
                      <c:pt idx="1">
                        <c:v>2.8080000000000001E-2</c:v>
                      </c:pt>
                      <c:pt idx="2">
                        <c:v>4.104E-2</c:v>
                      </c:pt>
                      <c:pt idx="3">
                        <c:v>4.9680000000000002E-2</c:v>
                      </c:pt>
                      <c:pt idx="4">
                        <c:v>8.5103999999999999E-2</c:v>
                      </c:pt>
                      <c:pt idx="5">
                        <c:v>8.7695999999999996E-2</c:v>
                      </c:pt>
                      <c:pt idx="6">
                        <c:v>6.0796223999999999</c:v>
                      </c:pt>
                      <c:pt idx="7">
                        <c:v>5.8715928000000002</c:v>
                      </c:pt>
                      <c:pt idx="8">
                        <c:v>8.8900588799999998</c:v>
                      </c:pt>
                      <c:pt idx="9">
                        <c:v>9.5128127999999972</c:v>
                      </c:pt>
                      <c:pt idx="10">
                        <c:v>35.830187567999999</c:v>
                      </c:pt>
                      <c:pt idx="11">
                        <c:v>41.473641600000008</c:v>
                      </c:pt>
                    </c:numCache>
                  </c:numRef>
                </c:val>
                <c:smooth val="0"/>
                <c:extLst>
                  <c:ext xmlns:c16="http://schemas.microsoft.com/office/drawing/2014/chart" uri="{C3380CC4-5D6E-409C-BE32-E72D297353CC}">
                    <c16:uniqueId val="{00000002-A6C6-488B-A3B8-EE1FA1F5A734}"/>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'Zn treatment tables'!$Q$47</c15:sqref>
                        </c15:formulaRef>
                      </c:ext>
                    </c:extLst>
                    <c:strCache>
                      <c:ptCount val="1"/>
                      <c:pt idx="0">
                        <c:v>Load kg/day - Barney Craig (95%) and Tailings(50%)</c:v>
                      </c:pt>
                    </c:strCache>
                  </c:strRef>
                </c:tx>
                <c:spPr>
                  <a:ln w="28575" cap="rnd">
                    <a:solidFill>
                      <a:schemeClr val="accent4"/>
                    </a:solidFill>
                    <a:round/>
                  </a:ln>
                  <a:effectLst/>
                </c:spPr>
                <c:marker>
                  <c:symbol val="none"/>
                </c:marker>
                <c:val>
                  <c:numRef>
                    <c:extLst xmlns:c15="http://schemas.microsoft.com/office/drawing/2012/chart">
                      <c:ext xmlns:c15="http://schemas.microsoft.com/office/drawing/2012/chart" uri="{02D57815-91ED-43cb-92C2-25804820EDAC}">
                        <c15:formulaRef>
                          <c15:sqref>'Zn treatment tables'!$Q$48:$Q$59</c15:sqref>
                        </c15:formulaRef>
                      </c:ext>
                    </c:extLst>
                    <c:numCache>
                      <c:formatCode>0.00</c:formatCode>
                      <c:ptCount val="12"/>
                      <c:pt idx="0">
                        <c:v>2.4191999999999998E-2</c:v>
                      </c:pt>
                      <c:pt idx="1">
                        <c:v>2.8080000000000001E-2</c:v>
                      </c:pt>
                      <c:pt idx="2">
                        <c:v>4.104E-2</c:v>
                      </c:pt>
                      <c:pt idx="3">
                        <c:v>4.9680000000000002E-2</c:v>
                      </c:pt>
                      <c:pt idx="4">
                        <c:v>8.5103999999999999E-2</c:v>
                      </c:pt>
                      <c:pt idx="5">
                        <c:v>8.7695999999999996E-2</c:v>
                      </c:pt>
                      <c:pt idx="6">
                        <c:v>1.4956012799999998</c:v>
                      </c:pt>
                      <c:pt idx="7">
                        <c:v>5.5060041600000007</c:v>
                      </c:pt>
                      <c:pt idx="8">
                        <c:v>7.6847702400000006</c:v>
                      </c:pt>
                      <c:pt idx="9">
                        <c:v>9.5128127999999972</c:v>
                      </c:pt>
                      <c:pt idx="10">
                        <c:v>32.996215728000003</c:v>
                      </c:pt>
                      <c:pt idx="11">
                        <c:v>36.680065919999997</c:v>
                      </c:pt>
                    </c:numCache>
                  </c:numRef>
                </c:val>
                <c:smooth val="0"/>
                <c:extLst>
                  <c:ext xmlns:c16="http://schemas.microsoft.com/office/drawing/2014/chart" uri="{C3380CC4-5D6E-409C-BE32-E72D297353CC}">
                    <c16:uniqueId val="{00000003-A6C6-488B-A3B8-EE1FA1F5A734}"/>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'Zn treatment tables'!$Q$62</c15:sqref>
                        </c15:formulaRef>
                      </c:ext>
                    </c:extLst>
                    <c:strCache>
                      <c:ptCount val="1"/>
                      <c:pt idx="0">
                        <c:v>Load kg/day - Barney Craig (95%), Tailings dam (50%), Coal cleugh (90%), diffuse upstream minesite (40%)</c:v>
                      </c:pt>
                    </c:strCache>
                  </c:strRef>
                </c:tx>
                <c:spPr>
                  <a:ln w="28575" cap="rnd">
                    <a:solidFill>
                      <a:schemeClr val="accent5"/>
                    </a:solidFill>
                    <a:round/>
                  </a:ln>
                  <a:effectLst/>
                </c:spPr>
                <c:marker>
                  <c:symbol val="none"/>
                </c:marker>
                <c:val>
                  <c:numRef>
                    <c:extLst xmlns:c15="http://schemas.microsoft.com/office/drawing/2012/chart">
                      <c:ext xmlns:c15="http://schemas.microsoft.com/office/drawing/2012/chart" uri="{02D57815-91ED-43cb-92C2-25804820EDAC}">
                        <c15:formulaRef>
                          <c15:sqref>'Zn treatment tables'!$Q$63:$Q$74</c15:sqref>
                        </c15:formulaRef>
                      </c:ext>
                    </c:extLst>
                    <c:numCache>
                      <c:formatCode>0.00</c:formatCode>
                      <c:ptCount val="12"/>
                      <c:pt idx="0">
                        <c:v>2.4191999999999998E-2</c:v>
                      </c:pt>
                      <c:pt idx="1">
                        <c:v>2.8080000000000001E-2</c:v>
                      </c:pt>
                      <c:pt idx="2">
                        <c:v>4.104E-2</c:v>
                      </c:pt>
                      <c:pt idx="3">
                        <c:v>4.9680000000000002E-2</c:v>
                      </c:pt>
                      <c:pt idx="4">
                        <c:v>8.5103999999999999E-2</c:v>
                      </c:pt>
                      <c:pt idx="5">
                        <c:v>8.7695999999999996E-2</c:v>
                      </c:pt>
                      <c:pt idx="6">
                        <c:v>0.16359839999999967</c:v>
                      </c:pt>
                      <c:pt idx="7">
                        <c:v>4.4860003200000005</c:v>
                      </c:pt>
                      <c:pt idx="8">
                        <c:v>6.9548630399999993</c:v>
                      </c:pt>
                      <c:pt idx="9">
                        <c:v>8.9195039999999981</c:v>
                      </c:pt>
                      <c:pt idx="10">
                        <c:v>31.129984367999999</c:v>
                      </c:pt>
                      <c:pt idx="11">
                        <c:v>32.90200128</c:v>
                      </c:pt>
                    </c:numCache>
                  </c:numRef>
                </c:val>
                <c:smooth val="0"/>
                <c:extLst>
                  <c:ext xmlns:c16="http://schemas.microsoft.com/office/drawing/2014/chart" uri="{C3380CC4-5D6E-409C-BE32-E72D297353CC}">
                    <c16:uniqueId val="{00000004-A6C6-488B-A3B8-EE1FA1F5A734}"/>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'Zn treatment tables'!$Q$77</c15:sqref>
                        </c15:formulaRef>
                      </c:ext>
                    </c:extLst>
                    <c:strCache>
                      <c:ptCount val="1"/>
                      <c:pt idx="0">
                        <c:v>Load kg/day - Barney Craig (95%), Tailings dam (50%), Coal cleugh (90%), diffuse upstream minesite (40%)</c:v>
                      </c:pt>
                    </c:strCache>
                  </c:strRef>
                </c:tx>
                <c:spPr>
                  <a:ln w="28575" cap="rnd">
                    <a:solidFill>
                      <a:schemeClr val="accent6"/>
                    </a:solidFill>
                    <a:round/>
                  </a:ln>
                  <a:effectLst/>
                </c:spPr>
                <c:marker>
                  <c:symbol val="none"/>
                </c:marker>
                <c:val>
                  <c:numRef>
                    <c:extLst xmlns:c15="http://schemas.microsoft.com/office/drawing/2012/chart">
                      <c:ext xmlns:c15="http://schemas.microsoft.com/office/drawing/2012/chart" uri="{02D57815-91ED-43cb-92C2-25804820EDAC}">
                        <c15:formulaRef>
                          <c15:sqref>'Zn treatment tables'!$Q$78:$Q$89</c15:sqref>
                        </c15:formulaRef>
                      </c:ext>
                    </c:extLst>
                    <c:numCache>
                      <c:formatCode>0.00</c:formatCode>
                      <c:ptCount val="12"/>
                      <c:pt idx="0">
                        <c:v>2.4191999999999998E-2</c:v>
                      </c:pt>
                      <c:pt idx="1">
                        <c:v>2.8080000000000001E-2</c:v>
                      </c:pt>
                      <c:pt idx="2">
                        <c:v>4.104E-2</c:v>
                      </c:pt>
                      <c:pt idx="3">
                        <c:v>4.9680000000000002E-2</c:v>
                      </c:pt>
                      <c:pt idx="4">
                        <c:v>8.5103999999999999E-2</c:v>
                      </c:pt>
                      <c:pt idx="5">
                        <c:v>8.7695999999999996E-2</c:v>
                      </c:pt>
                      <c:pt idx="6">
                        <c:v>0.84874176000000023</c:v>
                      </c:pt>
                      <c:pt idx="7">
                        <c:v>5.4548899200000003</c:v>
                      </c:pt>
                      <c:pt idx="8">
                        <c:v>7.3085155199999994</c:v>
                      </c:pt>
                      <c:pt idx="9">
                        <c:v>9.5128127999999972</c:v>
                      </c:pt>
                      <c:pt idx="10">
                        <c:v>31.624771248000002</c:v>
                      </c:pt>
                      <c:pt idx="11">
                        <c:v>33.716304000000001</c:v>
                      </c:pt>
                    </c:numCache>
                  </c:numRef>
                </c:val>
                <c:smooth val="0"/>
                <c:extLst>
                  <c:ext xmlns:c16="http://schemas.microsoft.com/office/drawing/2014/chart" uri="{C3380CC4-5D6E-409C-BE32-E72D297353CC}">
                    <c16:uniqueId val="{00000005-A6C6-488B-A3B8-EE1FA1F5A734}"/>
                  </c:ext>
                </c:extLst>
              </c15:ser>
            </c15:filteredLineSeries>
          </c:ext>
        </c:extLst>
      </c:lineChart>
      <c:catAx>
        <c:axId val="21211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Q value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0447656"/>
        <c:crosses val="autoZero"/>
        <c:auto val="1"/>
        <c:lblAlgn val="ctr"/>
        <c:lblOffset val="100"/>
        <c:noMultiLvlLbl val="0"/>
      </c:catAx>
      <c:valAx>
        <c:axId val="350447656"/>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Loading </a:t>
                </a:r>
                <a:r>
                  <a:rPr lang="en-GB" baseline="0"/>
                  <a:t>kg/day</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21144"/>
        <c:crosses val="autoZero"/>
        <c:crossBetween val="between"/>
        <c:majorUnit val="1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accent1"/>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Lead and PNEC load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'Pb treatment tables'!$Q$2</c:f>
              <c:strCache>
                <c:ptCount val="1"/>
                <c:pt idx="0">
                  <c:v>PNEC Load g/day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'Pb treatment tables'!$B$18:$B$29</c:f>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f>'Pb treatment tables'!$Q$3:$Q$14</c:f>
              <c:numCache>
                <c:formatCode>0.00</c:formatCode>
                <c:ptCount val="12"/>
                <c:pt idx="0">
                  <c:v>28.507852800000002</c:v>
                </c:pt>
                <c:pt idx="1">
                  <c:v>41.378687999999997</c:v>
                </c:pt>
                <c:pt idx="2">
                  <c:v>29.745791999999998</c:v>
                </c:pt>
                <c:pt idx="3">
                  <c:v>47.573568000000002</c:v>
                </c:pt>
                <c:pt idx="4">
                  <c:v>83.129587200000003</c:v>
                </c:pt>
                <c:pt idx="5">
                  <c:v>72.612288000000007</c:v>
                </c:pt>
                <c:pt idx="6">
                  <c:v>61.359897600000004</c:v>
                </c:pt>
                <c:pt idx="7">
                  <c:v>176.39493119999997</c:v>
                </c:pt>
                <c:pt idx="8">
                  <c:v>169.40171519999998</c:v>
                </c:pt>
                <c:pt idx="9">
                  <c:v>780.39936</c:v>
                </c:pt>
                <c:pt idx="10">
                  <c:v>1761.4630655999997</c:v>
                </c:pt>
                <c:pt idx="11">
                  <c:v>2313.5963904</c:v>
                </c:pt>
              </c:numCache>
            </c:numRef>
          </c:val>
          <c:smooth val="0"/>
          <c:extLst>
            <c:ext xmlns:c16="http://schemas.microsoft.com/office/drawing/2014/chart" uri="{C3380CC4-5D6E-409C-BE32-E72D297353CC}">
              <c16:uniqueId val="{00000000-4E9A-428D-997D-753FB12E15AC}"/>
            </c:ext>
          </c:extLst>
        </c:ser>
        <c:ser>
          <c:idx val="1"/>
          <c:order val="1"/>
          <c:tx>
            <c:strRef>
              <c:f>'Pb treatment tables'!$Q$17</c:f>
              <c:strCache>
                <c:ptCount val="1"/>
                <c:pt idx="0">
                  <c:v>Load g/day - no treatment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'Pb treatment tables'!$B$18:$B$29</c:f>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f>'Pb treatment tables'!$Q$18:$Q$29</c:f>
              <c:numCache>
                <c:formatCode>0.00</c:formatCode>
                <c:ptCount val="12"/>
                <c:pt idx="0">
                  <c:v>4.8384</c:v>
                </c:pt>
                <c:pt idx="1">
                  <c:v>5.6160000000000005</c:v>
                </c:pt>
                <c:pt idx="2">
                  <c:v>8.2080000000000002</c:v>
                </c:pt>
                <c:pt idx="3">
                  <c:v>9.9359999999999999</c:v>
                </c:pt>
                <c:pt idx="4">
                  <c:v>90.210239999999999</c:v>
                </c:pt>
                <c:pt idx="5">
                  <c:v>170.48102400000002</c:v>
                </c:pt>
                <c:pt idx="6">
                  <c:v>99.448127999999997</c:v>
                </c:pt>
                <c:pt idx="7">
                  <c:v>102.14207999999999</c:v>
                </c:pt>
                <c:pt idx="8">
                  <c:v>89.714304000000013</c:v>
                </c:pt>
                <c:pt idx="9">
                  <c:v>130.56681599999999</c:v>
                </c:pt>
                <c:pt idx="10">
                  <c:v>417.556512</c:v>
                </c:pt>
                <c:pt idx="11">
                  <c:v>949.10227199999997</c:v>
                </c:pt>
              </c:numCache>
            </c:numRef>
          </c:val>
          <c:smooth val="0"/>
          <c:extLst>
            <c:ext xmlns:c16="http://schemas.microsoft.com/office/drawing/2014/chart" uri="{C3380CC4-5D6E-409C-BE32-E72D297353CC}">
              <c16:uniqueId val="{00000001-4E9A-428D-997D-753FB12E15AC}"/>
            </c:ext>
          </c:extLst>
        </c:ser>
        <c:dLbls>
          <c:showLegendKey val="0"/>
          <c:showVal val="0"/>
          <c:showCatName val="0"/>
          <c:showSerName val="0"/>
          <c:showPercent val="0"/>
          <c:showBubbleSize val="0"/>
        </c:dLbls>
        <c:marker val="1"/>
        <c:smooth val="0"/>
        <c:axId val="353213504"/>
        <c:axId val="353574520"/>
        <c:extLst>
          <c:ext xmlns:c15="http://schemas.microsoft.com/office/drawing/2012/chart" uri="{02D57815-91ED-43cb-92C2-25804820EDAC}">
            <c15:filteredLineSeries>
              <c15:ser>
                <c:idx val="2"/>
                <c:order val="2"/>
                <c:tx>
                  <c:strRef>
                    <c:extLst>
                      <c:ext uri="{02D57815-91ED-43cb-92C2-25804820EDAC}">
                        <c15:formulaRef>
                          <c15:sqref>'Pb treatment tables'!$Q$32</c15:sqref>
                        </c15:formulaRef>
                      </c:ext>
                    </c:extLst>
                    <c:strCache>
                      <c:ptCount val="1"/>
                      <c:pt idx="0">
                        <c:v>Load g/day - Barney Craig (95%)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extLst>
                      <c:ext uri="{02D57815-91ED-43cb-92C2-25804820EDAC}">
                        <c15:formulaRef>
                          <c15:sqref>'Pb treatment tables'!$B$18:$B$29</c15:sqref>
                        </c15:formulaRef>
                      </c:ext>
                    </c:extLst>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extLst>
                      <c:ext uri="{02D57815-91ED-43cb-92C2-25804820EDAC}">
                        <c15:formulaRef>
                          <c15:sqref>'Pb treatment tables'!$Q$33:$Q$44</c15:sqref>
                        </c15:formulaRef>
                      </c:ext>
                    </c:extLst>
                    <c:numCache>
                      <c:formatCode>0.00</c:formatCode>
                      <c:ptCount val="12"/>
                      <c:pt idx="0">
                        <c:v>3.3256655999999998</c:v>
                      </c:pt>
                      <c:pt idx="1">
                        <c:v>4.1919120000000003</c:v>
                      </c:pt>
                      <c:pt idx="2">
                        <c:v>6.5664000000000007</c:v>
                      </c:pt>
                      <c:pt idx="3">
                        <c:v>8.6071248000000011</c:v>
                      </c:pt>
                      <c:pt idx="4">
                        <c:v>88.568640000000002</c:v>
                      </c:pt>
                      <c:pt idx="5">
                        <c:v>168.83942400000001</c:v>
                      </c:pt>
                      <c:pt idx="6">
                        <c:v>99.448127999999997</c:v>
                      </c:pt>
                      <c:pt idx="7">
                        <c:v>100.78776000000002</c:v>
                      </c:pt>
                      <c:pt idx="8">
                        <c:v>88.333718400000009</c:v>
                      </c:pt>
                      <c:pt idx="9">
                        <c:v>128.92521600000001</c:v>
                      </c:pt>
                      <c:pt idx="10">
                        <c:v>416.52312480000006</c:v>
                      </c:pt>
                      <c:pt idx="11">
                        <c:v>947.46067200000005</c:v>
                      </c:pt>
                    </c:numCache>
                  </c:numRef>
                </c:val>
                <c:smooth val="0"/>
                <c:extLst>
                  <c:ext xmlns:c16="http://schemas.microsoft.com/office/drawing/2014/chart" uri="{C3380CC4-5D6E-409C-BE32-E72D297353CC}">
                    <c16:uniqueId val="{00000002-4E9A-428D-997D-753FB12E15AC}"/>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'Pb treatment tables'!$Q$47</c15:sqref>
                        </c15:formulaRef>
                      </c:ext>
                    </c:extLst>
                    <c:strCache>
                      <c:ptCount val="1"/>
                      <c:pt idx="0">
                        <c:v>Load g/day - Barney Craig (95%) and Tailings(50%)</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extLst xmlns:c15="http://schemas.microsoft.com/office/drawing/2012/chart">
                      <c:ext xmlns:c15="http://schemas.microsoft.com/office/drawing/2012/chart" uri="{02D57815-91ED-43cb-92C2-25804820EDAC}">
                        <c15:formulaRef>
                          <c15:sqref>'Pb treatment tables'!$B$18:$B$29</c15:sqref>
                        </c15:formulaRef>
                      </c:ext>
                    </c:extLst>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extLst xmlns:c15="http://schemas.microsoft.com/office/drawing/2012/chart">
                      <c:ext xmlns:c15="http://schemas.microsoft.com/office/drawing/2012/chart" uri="{02D57815-91ED-43cb-92C2-25804820EDAC}">
                        <c15:formulaRef>
                          <c15:sqref>'Pb treatment tables'!$Q$48:$Q$59</c15:sqref>
                        </c15:formulaRef>
                      </c:ext>
                    </c:extLst>
                    <c:numCache>
                      <c:formatCode>0.00</c:formatCode>
                      <c:ptCount val="12"/>
                      <c:pt idx="0">
                        <c:v>4.8384</c:v>
                      </c:pt>
                      <c:pt idx="1">
                        <c:v>5.6160000000000005</c:v>
                      </c:pt>
                      <c:pt idx="2">
                        <c:v>3.6318239999999999</c:v>
                      </c:pt>
                      <c:pt idx="3">
                        <c:v>2.1206448</c:v>
                      </c:pt>
                      <c:pt idx="4">
                        <c:v>59.683391999999998</c:v>
                      </c:pt>
                      <c:pt idx="5">
                        <c:v>90.843120000000027</c:v>
                      </c:pt>
                      <c:pt idx="6">
                        <c:v>90.806227200000009</c:v>
                      </c:pt>
                      <c:pt idx="7">
                        <c:v>98.330414399999995</c:v>
                      </c:pt>
                      <c:pt idx="8">
                        <c:v>84.550435199999995</c:v>
                      </c:pt>
                      <c:pt idx="9">
                        <c:v>125.76130848000001</c:v>
                      </c:pt>
                      <c:pt idx="10">
                        <c:v>399.09797280000004</c:v>
                      </c:pt>
                      <c:pt idx="11">
                        <c:v>892.45022400000005</c:v>
                      </c:pt>
                    </c:numCache>
                  </c:numRef>
                </c:val>
                <c:smooth val="0"/>
                <c:extLst>
                  <c:ext xmlns:c16="http://schemas.microsoft.com/office/drawing/2014/chart" uri="{C3380CC4-5D6E-409C-BE32-E72D297353CC}">
                    <c16:uniqueId val="{00000003-4E9A-428D-997D-753FB12E15AC}"/>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'Pb treatment tables'!$Q$62</c15:sqref>
                        </c15:formulaRef>
                      </c:ext>
                    </c:extLst>
                    <c:strCache>
                      <c:ptCount val="1"/>
                      <c:pt idx="0">
                        <c:v>Load g/day - Barney Craig (95%), Tailings dam (50%), Coal cleugh (90%), diffuse upstream minesite (40%)</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extLst xmlns:c15="http://schemas.microsoft.com/office/drawing/2012/chart">
                      <c:ext xmlns:c15="http://schemas.microsoft.com/office/drawing/2012/chart" uri="{02D57815-91ED-43cb-92C2-25804820EDAC}">
                        <c15:formulaRef>
                          <c15:sqref>'Pb treatment tables'!$B$18:$B$29</c15:sqref>
                        </c15:formulaRef>
                      </c:ext>
                    </c:extLst>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extLst xmlns:c15="http://schemas.microsoft.com/office/drawing/2012/chart">
                      <c:ext xmlns:c15="http://schemas.microsoft.com/office/drawing/2012/chart" uri="{02D57815-91ED-43cb-92C2-25804820EDAC}">
                        <c15:formulaRef>
                          <c15:sqref>'Pb treatment tables'!$Q$63:$Q$74</c15:sqref>
                        </c15:formulaRef>
                      </c:ext>
                    </c:extLst>
                    <c:numCache>
                      <c:formatCode>0.00</c:formatCode>
                      <c:ptCount val="12"/>
                      <c:pt idx="0">
                        <c:v>4.8384</c:v>
                      </c:pt>
                      <c:pt idx="1">
                        <c:v>5.6160000000000005</c:v>
                      </c:pt>
                      <c:pt idx="2">
                        <c:v>8.2080000000000002</c:v>
                      </c:pt>
                      <c:pt idx="3">
                        <c:v>9.9359999999999999</c:v>
                      </c:pt>
                      <c:pt idx="4">
                        <c:v>27.5695488</c:v>
                      </c:pt>
                      <c:pt idx="5">
                        <c:v>75.867840000000001</c:v>
                      </c:pt>
                      <c:pt idx="6">
                        <c:v>68.646389759999991</c:v>
                      </c:pt>
                      <c:pt idx="7">
                        <c:v>77.394730063968566</c:v>
                      </c:pt>
                      <c:pt idx="8">
                        <c:v>87.051674218832687</c:v>
                      </c:pt>
                      <c:pt idx="9">
                        <c:v>114.68447078400003</c:v>
                      </c:pt>
                      <c:pt idx="10">
                        <c:v>366.17266080000007</c:v>
                      </c:pt>
                      <c:pt idx="11">
                        <c:v>762.85324800000001</c:v>
                      </c:pt>
                    </c:numCache>
                  </c:numRef>
                </c:val>
                <c:smooth val="0"/>
                <c:extLst>
                  <c:ext xmlns:c16="http://schemas.microsoft.com/office/drawing/2014/chart" uri="{C3380CC4-5D6E-409C-BE32-E72D297353CC}">
                    <c16:uniqueId val="{00000004-4E9A-428D-997D-753FB12E15AC}"/>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'Pb treatment tables'!$Q$77</c15:sqref>
                        </c15:formulaRef>
                      </c:ext>
                    </c:extLst>
                    <c:strCache>
                      <c:ptCount val="1"/>
                      <c:pt idx="0">
                        <c:v>Load g/day - Barney Craig (95%), Tailings dam (50%), Coal cleugh (90%), diffuse upstream minesite (40%)</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extLst xmlns:c15="http://schemas.microsoft.com/office/drawing/2012/chart">
                      <c:ext xmlns:c15="http://schemas.microsoft.com/office/drawing/2012/chart" uri="{02D57815-91ED-43cb-92C2-25804820EDAC}">
                        <c15:formulaRef>
                          <c15:sqref>'Pb treatment tables'!$B$18:$B$29</c15:sqref>
                        </c15:formulaRef>
                      </c:ext>
                    </c:extLst>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extLst xmlns:c15="http://schemas.microsoft.com/office/drawing/2012/chart">
                      <c:ext xmlns:c15="http://schemas.microsoft.com/office/drawing/2012/chart" uri="{02D57815-91ED-43cb-92C2-25804820EDAC}">
                        <c15:formulaRef>
                          <c15:sqref>'Pb treatment tables'!$Q$78:$Q$89</c15:sqref>
                        </c15:formulaRef>
                      </c:ext>
                    </c:extLst>
                    <c:numCache>
                      <c:formatCode>0.00</c:formatCode>
                      <c:ptCount val="12"/>
                      <c:pt idx="0">
                        <c:v>4.8384</c:v>
                      </c:pt>
                      <c:pt idx="1">
                        <c:v>5.6160000000000005</c:v>
                      </c:pt>
                      <c:pt idx="2">
                        <c:v>8.2080000000000002</c:v>
                      </c:pt>
                      <c:pt idx="3">
                        <c:v>9.9359999999999999</c:v>
                      </c:pt>
                      <c:pt idx="4">
                        <c:v>27.5695488</c:v>
                      </c:pt>
                      <c:pt idx="5">
                        <c:v>75.867840000000001</c:v>
                      </c:pt>
                      <c:pt idx="6">
                        <c:v>68.646389759999991</c:v>
                      </c:pt>
                      <c:pt idx="7">
                        <c:v>77.394730063968566</c:v>
                      </c:pt>
                      <c:pt idx="8">
                        <c:v>87.051674218832687</c:v>
                      </c:pt>
                      <c:pt idx="9">
                        <c:v>114.68447078400003</c:v>
                      </c:pt>
                      <c:pt idx="10">
                        <c:v>366.17266080000007</c:v>
                      </c:pt>
                      <c:pt idx="11">
                        <c:v>762.85324800000001</c:v>
                      </c:pt>
                    </c:numCache>
                  </c:numRef>
                </c:val>
                <c:smooth val="0"/>
                <c:extLst>
                  <c:ext xmlns:c16="http://schemas.microsoft.com/office/drawing/2014/chart" uri="{C3380CC4-5D6E-409C-BE32-E72D297353CC}">
                    <c16:uniqueId val="{00000005-4E9A-428D-997D-753FB12E15AC}"/>
                  </c:ext>
                </c:extLst>
              </c15:ser>
            </c15:filteredLineSeries>
          </c:ext>
        </c:extLst>
      </c:lineChart>
      <c:catAx>
        <c:axId val="3532135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Q value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574520"/>
        <c:crosses val="autoZero"/>
        <c:auto val="1"/>
        <c:lblAlgn val="ctr"/>
        <c:lblOffset val="100"/>
        <c:noMultiLvlLbl val="0"/>
      </c:catAx>
      <c:valAx>
        <c:axId val="353574520"/>
        <c:scaling>
          <c:orientation val="minMax"/>
          <c:max val="25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Loading </a:t>
                </a:r>
                <a:r>
                  <a:rPr lang="en-GB" baseline="0"/>
                  <a:t>g/day</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213504"/>
        <c:crosses val="autoZero"/>
        <c:crossBetween val="between"/>
        <c:majorUnit val="50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showDLblsOverMax val="0"/>
  </c:chart>
  <c:spPr>
    <a:solidFill>
      <a:schemeClr val="bg1"/>
    </a:solidFill>
    <a:ln w="19050" cap="flat" cmpd="sng" algn="ctr">
      <a:solidFill>
        <a:schemeClr val="accent1"/>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Lead and PNEC load at Q18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'catchment table'!$N$4</c:f>
              <c:strCache>
                <c:ptCount val="1"/>
                <c:pt idx="0">
                  <c:v>PNEC Pb load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'catchment table'!$A$5:$A$21</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table'!$N$5:$N$21</c:f>
              <c:numCache>
                <c:formatCode>0.00</c:formatCode>
                <c:ptCount val="17"/>
                <c:pt idx="1">
                  <c:v>14.573260799999998</c:v>
                </c:pt>
                <c:pt idx="3">
                  <c:v>237.65011200000001</c:v>
                </c:pt>
                <c:pt idx="4">
                  <c:v>280.61717759999999</c:v>
                </c:pt>
                <c:pt idx="16">
                  <c:v>2313.5963904</c:v>
                </c:pt>
              </c:numCache>
            </c:numRef>
          </c:val>
          <c:smooth val="0"/>
          <c:extLst>
            <c:ext xmlns:c16="http://schemas.microsoft.com/office/drawing/2014/chart" uri="{C3380CC4-5D6E-409C-BE32-E72D297353CC}">
              <c16:uniqueId val="{00000000-31B7-4085-9F62-7D66A547AA5C}"/>
            </c:ext>
          </c:extLst>
        </c:ser>
        <c:ser>
          <c:idx val="1"/>
          <c:order val="1"/>
          <c:tx>
            <c:strRef>
              <c:f>'catchment table'!$O$4</c:f>
              <c:strCache>
                <c:ptCount val="1"/>
                <c:pt idx="0">
                  <c:v>Pb load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'catchment table'!$A$5:$A$21</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table'!$O$5:$O$21</c:f>
              <c:numCache>
                <c:formatCode>0.00</c:formatCode>
                <c:ptCount val="17"/>
                <c:pt idx="1">
                  <c:v>23.175936000000004</c:v>
                </c:pt>
                <c:pt idx="3">
                  <c:v>374.67360000000002</c:v>
                </c:pt>
                <c:pt idx="4">
                  <c:v>488.56608000000011</c:v>
                </c:pt>
                <c:pt idx="16">
                  <c:v>949.10227199999997</c:v>
                </c:pt>
              </c:numCache>
            </c:numRef>
          </c:val>
          <c:smooth val="0"/>
          <c:extLst>
            <c:ext xmlns:c16="http://schemas.microsoft.com/office/drawing/2014/chart" uri="{C3380CC4-5D6E-409C-BE32-E72D297353CC}">
              <c16:uniqueId val="{00000001-31B7-4085-9F62-7D66A547AA5C}"/>
            </c:ext>
          </c:extLst>
        </c:ser>
        <c:dLbls>
          <c:showLegendKey val="0"/>
          <c:showVal val="0"/>
          <c:showCatName val="0"/>
          <c:showSerName val="0"/>
          <c:showPercent val="0"/>
          <c:showBubbleSize val="0"/>
        </c:dLbls>
        <c:marker val="1"/>
        <c:smooth val="0"/>
        <c:axId val="353575304"/>
        <c:axId val="353575696"/>
        <c:extLst>
          <c:ext xmlns:c15="http://schemas.microsoft.com/office/drawing/2012/chart" uri="{02D57815-91ED-43cb-92C2-25804820EDAC}">
            <c15:filteredLineSeries>
              <c15:ser>
                <c:idx val="2"/>
                <c:order val="2"/>
                <c:tx>
                  <c:strRef>
                    <c:extLst>
                      <c:ext uri="{02D57815-91ED-43cb-92C2-25804820EDAC}">
                        <c15:formulaRef>
                          <c15:sqref>'catchment table'!$P$4</c15:sqref>
                        </c15:formulaRef>
                      </c:ext>
                    </c:extLst>
                    <c:strCache>
                      <c:ptCount val="1"/>
                      <c:pt idx="0">
                        <c:v>Pb load after treatment of BC 95%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c:ext uri="{02D57815-91ED-43cb-92C2-25804820EDAC}">
                        <c15:formulaRef>
                          <c15:sqref>'catchment table'!$A$5:$A$21</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c:ext uri="{02D57815-91ED-43cb-92C2-25804820EDAC}">
                        <c15:formulaRef>
                          <c15:sqref>'catchment table'!$P$5:$P$21</c15:sqref>
                        </c15:formulaRef>
                      </c:ext>
                    </c:extLst>
                    <c:numCache>
                      <c:formatCode>0.00</c:formatCode>
                      <c:ptCount val="17"/>
                      <c:pt idx="1">
                        <c:v>23.175936000000004</c:v>
                      </c:pt>
                      <c:pt idx="3">
                        <c:v>374.67360000000002</c:v>
                      </c:pt>
                      <c:pt idx="4">
                        <c:v>486.92448000000002</c:v>
                      </c:pt>
                      <c:pt idx="16">
                        <c:v>947.46067200000005</c:v>
                      </c:pt>
                    </c:numCache>
                  </c:numRef>
                </c:val>
                <c:smooth val="0"/>
                <c:extLst>
                  <c:ext xmlns:c16="http://schemas.microsoft.com/office/drawing/2014/chart" uri="{C3380CC4-5D6E-409C-BE32-E72D297353CC}">
                    <c16:uniqueId val="{00000002-31B7-4085-9F62-7D66A547AA5C}"/>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'catchment table'!$Q$4</c15:sqref>
                        </c15:formulaRef>
                      </c:ext>
                    </c:extLst>
                    <c:strCache>
                      <c:ptCount val="1"/>
                      <c:pt idx="0">
                        <c:v>Pb load after treatment of Barney Craig and talings dam</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'catchment table'!$A$5:$A$21</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table'!$Q$5:$Q$21</c15:sqref>
                        </c15:formulaRef>
                      </c:ext>
                    </c:extLst>
                    <c:numCache>
                      <c:formatCode>0.00</c:formatCode>
                      <c:ptCount val="17"/>
                      <c:pt idx="1">
                        <c:v>23.175936000000004</c:v>
                      </c:pt>
                      <c:pt idx="3">
                        <c:v>374.67360000000002</c:v>
                      </c:pt>
                      <c:pt idx="4">
                        <c:v>431.91403200000002</c:v>
                      </c:pt>
                      <c:pt idx="16">
                        <c:v>892.45022400000005</c:v>
                      </c:pt>
                    </c:numCache>
                  </c:numRef>
                </c:val>
                <c:smooth val="0"/>
                <c:extLst>
                  <c:ext xmlns:c16="http://schemas.microsoft.com/office/drawing/2014/chart" uri="{C3380CC4-5D6E-409C-BE32-E72D297353CC}">
                    <c16:uniqueId val="{00000003-31B7-4085-9F62-7D66A547AA5C}"/>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'catchment table'!$R$4</c15:sqref>
                        </c15:formulaRef>
                      </c:ext>
                    </c:extLst>
                    <c:strCache>
                      <c:ptCount val="1"/>
                      <c:pt idx="0">
                        <c:v>Pb load after treatment of Barney craig, Tailings dam coal cleugh and coal/alston cleugh diffuse</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'catchment table'!$A$5:$A$21</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table'!$R$5:$R$21</c15:sqref>
                        </c15:formulaRef>
                      </c:ext>
                    </c:extLst>
                    <c:numCache>
                      <c:formatCode>0.00</c:formatCode>
                      <c:ptCount val="17"/>
                      <c:pt idx="1">
                        <c:v>23.175936000000004</c:v>
                      </c:pt>
                      <c:pt idx="3">
                        <c:v>213.21619200000004</c:v>
                      </c:pt>
                      <c:pt idx="4">
                        <c:v>270.45662399999998</c:v>
                      </c:pt>
                      <c:pt idx="16">
                        <c:v>762.85324800000001</c:v>
                      </c:pt>
                    </c:numCache>
                  </c:numRef>
                </c:val>
                <c:smooth val="0"/>
                <c:extLst>
                  <c:ext xmlns:c16="http://schemas.microsoft.com/office/drawing/2014/chart" uri="{C3380CC4-5D6E-409C-BE32-E72D297353CC}">
                    <c16:uniqueId val="{00000004-31B7-4085-9F62-7D66A547AA5C}"/>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'catchment table'!$S$4</c15:sqref>
                        </c15:formulaRef>
                      </c:ext>
                    </c:extLst>
                    <c:strCache>
                      <c:ptCount val="1"/>
                      <c:pt idx="0">
                        <c:v>Pb load after treatment of Barney craig, Tailings dam and coal/alston cleugh diffuse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'catchment table'!$A$5:$A$21</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table'!$S$5:$S$21</c15:sqref>
                        </c15:formulaRef>
                      </c:ext>
                    </c:extLst>
                    <c:numCache>
                      <c:formatCode>0.00</c:formatCode>
                      <c:ptCount val="17"/>
                      <c:pt idx="1">
                        <c:v>23.175936000000004</c:v>
                      </c:pt>
                      <c:pt idx="3">
                        <c:v>234.0745344</c:v>
                      </c:pt>
                      <c:pt idx="4">
                        <c:v>291.31496640000006</c:v>
                      </c:pt>
                      <c:pt idx="16">
                        <c:v>762.85324800000001</c:v>
                      </c:pt>
                    </c:numCache>
                  </c:numRef>
                </c:val>
                <c:smooth val="0"/>
                <c:extLst>
                  <c:ext xmlns:c16="http://schemas.microsoft.com/office/drawing/2014/chart" uri="{C3380CC4-5D6E-409C-BE32-E72D297353CC}">
                    <c16:uniqueId val="{00000005-31B7-4085-9F62-7D66A547AA5C}"/>
                  </c:ext>
                </c:extLst>
              </c15:ser>
            </c15:filteredLineSeries>
          </c:ext>
        </c:extLst>
      </c:lineChart>
      <c:catAx>
        <c:axId val="3535753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a:t>
                </a:r>
                <a:r>
                  <a:rPr lang="en-GB" baseline="0"/>
                  <a:t> down catchment</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575696"/>
        <c:crosses val="autoZero"/>
        <c:auto val="1"/>
        <c:lblAlgn val="ctr"/>
        <c:lblOffset val="100"/>
        <c:noMultiLvlLbl val="0"/>
      </c:catAx>
      <c:valAx>
        <c:axId val="353575696"/>
        <c:scaling>
          <c:orientation val="minMax"/>
          <c:max val="25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Loading </a:t>
                </a:r>
                <a:r>
                  <a:rPr lang="en-GB" baseline="0"/>
                  <a:t>g/day</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575304"/>
        <c:crosses val="autoZero"/>
        <c:crossBetween val="between"/>
        <c:majorUnit val="50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showDLblsOverMax val="0"/>
  </c:chart>
  <c:spPr>
    <a:solidFill>
      <a:schemeClr val="bg1"/>
    </a:solidFill>
    <a:ln w="19050" cap="flat" cmpd="sng" algn="ctr">
      <a:solidFill>
        <a:schemeClr val="accent2">
          <a:lumMod val="7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baseline="0">
                <a:effectLst/>
              </a:rPr>
              <a:t>Lead and PNEC load at Q55</a:t>
            </a:r>
            <a:endParaRPr lang="en-GB"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'catchment table'!$N$4</c:f>
              <c:strCache>
                <c:ptCount val="1"/>
                <c:pt idx="0">
                  <c:v>PNEC Pb load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'catchment table'!$A$26:$A$42</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table'!$N$26:$N$42</c:f>
              <c:numCache>
                <c:formatCode>0.00</c:formatCode>
                <c:ptCount val="17"/>
                <c:pt idx="1">
                  <c:v>2.5909632</c:v>
                </c:pt>
                <c:pt idx="3">
                  <c:v>19.397491200000001</c:v>
                </c:pt>
                <c:pt idx="4">
                  <c:v>15.6795264</c:v>
                </c:pt>
                <c:pt idx="16">
                  <c:v>176.39493119999997</c:v>
                </c:pt>
              </c:numCache>
            </c:numRef>
          </c:val>
          <c:smooth val="0"/>
          <c:extLst>
            <c:ext xmlns:c16="http://schemas.microsoft.com/office/drawing/2014/chart" uri="{C3380CC4-5D6E-409C-BE32-E72D297353CC}">
              <c16:uniqueId val="{00000000-5418-4A35-8941-CE1D39C2200E}"/>
            </c:ext>
          </c:extLst>
        </c:ser>
        <c:ser>
          <c:idx val="1"/>
          <c:order val="1"/>
          <c:tx>
            <c:strRef>
              <c:f>'catchment table'!$O$4</c:f>
              <c:strCache>
                <c:ptCount val="1"/>
                <c:pt idx="0">
                  <c:v>Pb load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'catchment table'!$A$26:$A$42</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table'!$O$26:$O$42</c:f>
              <c:numCache>
                <c:formatCode>0.00</c:formatCode>
                <c:ptCount val="17"/>
                <c:pt idx="1">
                  <c:v>2.4312959999999997</c:v>
                </c:pt>
                <c:pt idx="3">
                  <c:v>29.719008000000002</c:v>
                </c:pt>
                <c:pt idx="4">
                  <c:v>36.561024000000003</c:v>
                </c:pt>
                <c:pt idx="16">
                  <c:v>102.14207999999999</c:v>
                </c:pt>
              </c:numCache>
            </c:numRef>
          </c:val>
          <c:smooth val="0"/>
          <c:extLst>
            <c:ext xmlns:c16="http://schemas.microsoft.com/office/drawing/2014/chart" uri="{C3380CC4-5D6E-409C-BE32-E72D297353CC}">
              <c16:uniqueId val="{00000001-5418-4A35-8941-CE1D39C2200E}"/>
            </c:ext>
          </c:extLst>
        </c:ser>
        <c:dLbls>
          <c:showLegendKey val="0"/>
          <c:showVal val="0"/>
          <c:showCatName val="0"/>
          <c:showSerName val="0"/>
          <c:showPercent val="0"/>
          <c:showBubbleSize val="0"/>
        </c:dLbls>
        <c:marker val="1"/>
        <c:smooth val="0"/>
        <c:axId val="353576480"/>
        <c:axId val="353576872"/>
        <c:extLst>
          <c:ext xmlns:c15="http://schemas.microsoft.com/office/drawing/2012/chart" uri="{02D57815-91ED-43cb-92C2-25804820EDAC}">
            <c15:filteredLineSeries>
              <c15:ser>
                <c:idx val="2"/>
                <c:order val="2"/>
                <c:tx>
                  <c:strRef>
                    <c:extLst>
                      <c:ext uri="{02D57815-91ED-43cb-92C2-25804820EDAC}">
                        <c15:formulaRef>
                          <c15:sqref>'catchment table'!$P$4</c15:sqref>
                        </c15:formulaRef>
                      </c:ext>
                    </c:extLst>
                    <c:strCache>
                      <c:ptCount val="1"/>
                      <c:pt idx="0">
                        <c:v>Pb load after treatment of BC 95%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c:ext uri="{02D57815-91ED-43cb-92C2-25804820EDAC}">
                        <c15:formulaRef>
                          <c15:sqref>'catchment table'!$A$26:$A$42</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c:ext uri="{02D57815-91ED-43cb-92C2-25804820EDAC}">
                        <c15:formulaRef>
                          <c15:sqref>'catchment table'!$P$26:$P$42</c15:sqref>
                        </c15:formulaRef>
                      </c:ext>
                    </c:extLst>
                    <c:numCache>
                      <c:formatCode>0.00</c:formatCode>
                      <c:ptCount val="17"/>
                      <c:pt idx="1">
                        <c:v>2.4312959999999997</c:v>
                      </c:pt>
                      <c:pt idx="3">
                        <c:v>29.719008000000002</c:v>
                      </c:pt>
                      <c:pt idx="4">
                        <c:v>35.206704000000002</c:v>
                      </c:pt>
                      <c:pt idx="16" formatCode="0.000">
                        <c:v>100.78776000000002</c:v>
                      </c:pt>
                    </c:numCache>
                  </c:numRef>
                </c:val>
                <c:smooth val="0"/>
                <c:extLst>
                  <c:ext xmlns:c16="http://schemas.microsoft.com/office/drawing/2014/chart" uri="{C3380CC4-5D6E-409C-BE32-E72D297353CC}">
                    <c16:uniqueId val="{00000002-5418-4A35-8941-CE1D39C2200E}"/>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'catchment table'!$Q$4</c15:sqref>
                        </c15:formulaRef>
                      </c:ext>
                    </c:extLst>
                    <c:strCache>
                      <c:ptCount val="1"/>
                      <c:pt idx="0">
                        <c:v>Pb load after treatment of Barney Craig and talings dam</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'catchment table'!$A$26:$A$42</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table'!$Q$25:$Q$42</c15:sqref>
                        </c15:formulaRef>
                      </c:ext>
                    </c:extLst>
                    <c:numCache>
                      <c:formatCode>General</c:formatCode>
                      <c:ptCount val="18"/>
                      <c:pt idx="2" formatCode="0.00">
                        <c:v>2.4312959999999997</c:v>
                      </c:pt>
                      <c:pt idx="4" formatCode="0.00">
                        <c:v>29.719008000000002</c:v>
                      </c:pt>
                      <c:pt idx="5" formatCode="0.00">
                        <c:v>32.749358399999998</c:v>
                      </c:pt>
                      <c:pt idx="17" formatCode="0.000">
                        <c:v>98.330414399999995</c:v>
                      </c:pt>
                    </c:numCache>
                  </c:numRef>
                </c:val>
                <c:smooth val="0"/>
                <c:extLst>
                  <c:ext xmlns:c16="http://schemas.microsoft.com/office/drawing/2014/chart" uri="{C3380CC4-5D6E-409C-BE32-E72D297353CC}">
                    <c16:uniqueId val="{00000003-5418-4A35-8941-CE1D39C2200E}"/>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'catchment table'!$R$4</c15:sqref>
                        </c15:formulaRef>
                      </c:ext>
                    </c:extLst>
                    <c:strCache>
                      <c:ptCount val="1"/>
                      <c:pt idx="0">
                        <c:v>Pb load after treatment of Barney craig, Tailings dam coal cleugh and coal/alston cleugh diffuse</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'catchment table'!$A$26:$A$42</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table'!$R$26:$R$42</c15:sqref>
                        </c15:formulaRef>
                      </c:ext>
                    </c:extLst>
                    <c:numCache>
                      <c:formatCode>0.00</c:formatCode>
                      <c:ptCount val="17"/>
                      <c:pt idx="1">
                        <c:v>2.4312959999999997</c:v>
                      </c:pt>
                      <c:pt idx="3">
                        <c:v>16.615756800000003</c:v>
                      </c:pt>
                      <c:pt idx="4">
                        <c:v>19.646107199999999</c:v>
                      </c:pt>
                      <c:pt idx="16">
                        <c:v>77.394730063968566</c:v>
                      </c:pt>
                    </c:numCache>
                  </c:numRef>
                </c:val>
                <c:smooth val="0"/>
                <c:extLst>
                  <c:ext xmlns:c16="http://schemas.microsoft.com/office/drawing/2014/chart" uri="{C3380CC4-5D6E-409C-BE32-E72D297353CC}">
                    <c16:uniqueId val="{00000004-5418-4A35-8941-CE1D39C2200E}"/>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'catchment table'!$S$4</c15:sqref>
                        </c15:formulaRef>
                      </c:ext>
                    </c:extLst>
                    <c:strCache>
                      <c:ptCount val="1"/>
                      <c:pt idx="0">
                        <c:v>Pb load after treatment of Barney craig, Tailings dam and coal/alston cleugh diffuse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'catchment table'!$A$26:$A$42</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table'!$S$26:$S$42</c15:sqref>
                        </c15:formulaRef>
                      </c:ext>
                    </c:extLst>
                    <c:numCache>
                      <c:formatCode>0.00</c:formatCode>
                      <c:ptCount val="17"/>
                      <c:pt idx="1">
                        <c:v>2.4312959999999997</c:v>
                      </c:pt>
                      <c:pt idx="3">
                        <c:v>18.8039232</c:v>
                      </c:pt>
                      <c:pt idx="4">
                        <c:v>21.8342736</c:v>
                      </c:pt>
                      <c:pt idx="16">
                        <c:v>77.394730063968566</c:v>
                      </c:pt>
                    </c:numCache>
                  </c:numRef>
                </c:val>
                <c:smooth val="0"/>
                <c:extLst>
                  <c:ext xmlns:c16="http://schemas.microsoft.com/office/drawing/2014/chart" uri="{C3380CC4-5D6E-409C-BE32-E72D297353CC}">
                    <c16:uniqueId val="{00000005-5418-4A35-8941-CE1D39C2200E}"/>
                  </c:ext>
                </c:extLst>
              </c15:ser>
            </c15:filteredLineSeries>
          </c:ext>
        </c:extLst>
      </c:lineChart>
      <c:catAx>
        <c:axId val="353576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a:t>
                </a:r>
                <a:r>
                  <a:rPr lang="en-GB" baseline="0"/>
                  <a:t> down catchment</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576872"/>
        <c:crosses val="autoZero"/>
        <c:auto val="1"/>
        <c:lblAlgn val="ctr"/>
        <c:lblOffset val="100"/>
        <c:noMultiLvlLbl val="0"/>
      </c:catAx>
      <c:valAx>
        <c:axId val="353576872"/>
        <c:scaling>
          <c:orientation val="minMax"/>
          <c:max val="2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Loading </a:t>
                </a:r>
                <a:r>
                  <a:rPr lang="en-GB" baseline="0"/>
                  <a:t>g/day</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576480"/>
        <c:crosses val="autoZero"/>
        <c:crossBetween val="between"/>
        <c:majorUnit val="5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showDLblsOverMax val="0"/>
  </c:chart>
  <c:spPr>
    <a:solidFill>
      <a:schemeClr val="bg1"/>
    </a:solidFill>
    <a:ln w="19050" cap="flat" cmpd="sng" algn="ctr">
      <a:solidFill>
        <a:schemeClr val="accent4">
          <a:lumMod val="60000"/>
          <a:lumOff val="40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baseline="0">
                <a:effectLst/>
              </a:rPr>
              <a:t>Lead and PNEC load at Q95</a:t>
            </a:r>
            <a:endParaRPr lang="en-GB"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'catchment table'!$N$4</c:f>
              <c:strCache>
                <c:ptCount val="1"/>
                <c:pt idx="0">
                  <c:v>PNEC Pb load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'catchment table'!$A$47:$A$63</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table'!$N$47:$N$63</c:f>
              <c:numCache>
                <c:formatCode>0.00</c:formatCode>
                <c:ptCount val="17"/>
                <c:pt idx="1">
                  <c:v>0.14411519999999997</c:v>
                </c:pt>
                <c:pt idx="3">
                  <c:v>4.650048</c:v>
                </c:pt>
                <c:pt idx="4">
                  <c:v>11.315635199999999</c:v>
                </c:pt>
                <c:pt idx="16">
                  <c:v>28.507852800000002</c:v>
                </c:pt>
              </c:numCache>
            </c:numRef>
          </c:val>
          <c:smooth val="0"/>
          <c:extLst>
            <c:ext xmlns:c16="http://schemas.microsoft.com/office/drawing/2014/chart" uri="{C3380CC4-5D6E-409C-BE32-E72D297353CC}">
              <c16:uniqueId val="{00000000-0C65-4577-8F86-72A85DBE0271}"/>
            </c:ext>
          </c:extLst>
        </c:ser>
        <c:ser>
          <c:idx val="1"/>
          <c:order val="1"/>
          <c:tx>
            <c:strRef>
              <c:f>'catchment table'!$O$4</c:f>
              <c:strCache>
                <c:ptCount val="1"/>
                <c:pt idx="0">
                  <c:v>Pb load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'catchment table'!$A$47:$A$63</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table'!$O$47:$O$63</c:f>
              <c:numCache>
                <c:formatCode>0.00</c:formatCode>
                <c:ptCount val="17"/>
                <c:pt idx="1">
                  <c:v>0.21168000000000003</c:v>
                </c:pt>
                <c:pt idx="3">
                  <c:v>3.7290239999999999</c:v>
                </c:pt>
                <c:pt idx="4">
                  <c:v>14.188608</c:v>
                </c:pt>
                <c:pt idx="16">
                  <c:v>4.8384</c:v>
                </c:pt>
              </c:numCache>
            </c:numRef>
          </c:val>
          <c:smooth val="0"/>
          <c:extLst>
            <c:ext xmlns:c16="http://schemas.microsoft.com/office/drawing/2014/chart" uri="{C3380CC4-5D6E-409C-BE32-E72D297353CC}">
              <c16:uniqueId val="{00000001-0C65-4577-8F86-72A85DBE0271}"/>
            </c:ext>
          </c:extLst>
        </c:ser>
        <c:dLbls>
          <c:showLegendKey val="0"/>
          <c:showVal val="0"/>
          <c:showCatName val="0"/>
          <c:showSerName val="0"/>
          <c:showPercent val="0"/>
          <c:showBubbleSize val="0"/>
        </c:dLbls>
        <c:marker val="1"/>
        <c:smooth val="0"/>
        <c:axId val="353577656"/>
        <c:axId val="353578048"/>
        <c:extLst>
          <c:ext xmlns:c15="http://schemas.microsoft.com/office/drawing/2012/chart" uri="{02D57815-91ED-43cb-92C2-25804820EDAC}">
            <c15:filteredLineSeries>
              <c15:ser>
                <c:idx val="2"/>
                <c:order val="2"/>
                <c:tx>
                  <c:strRef>
                    <c:extLst>
                      <c:ext uri="{02D57815-91ED-43cb-92C2-25804820EDAC}">
                        <c15:formulaRef>
                          <c15:sqref>'catchment table'!$P$4</c15:sqref>
                        </c15:formulaRef>
                      </c:ext>
                    </c:extLst>
                    <c:strCache>
                      <c:ptCount val="1"/>
                      <c:pt idx="0">
                        <c:v>Pb load after treatment of BC 95%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c:ext uri="{02D57815-91ED-43cb-92C2-25804820EDAC}">
                        <c15:formulaRef>
                          <c15:sqref>'catchment table'!$A$47:$A$63</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c:ext uri="{02D57815-91ED-43cb-92C2-25804820EDAC}">
                        <c15:formulaRef>
                          <c15:sqref>'catchment table'!$P$47:$P$63</c15:sqref>
                        </c15:formulaRef>
                      </c:ext>
                    </c:extLst>
                    <c:numCache>
                      <c:formatCode>0.00</c:formatCode>
                      <c:ptCount val="17"/>
                      <c:pt idx="1">
                        <c:v>0.21168000000000003</c:v>
                      </c:pt>
                      <c:pt idx="3">
                        <c:v>3.7290239999999999</c:v>
                      </c:pt>
                      <c:pt idx="4">
                        <c:v>12.675873600000001</c:v>
                      </c:pt>
                      <c:pt idx="16">
                        <c:v>3.3256655999999998</c:v>
                      </c:pt>
                    </c:numCache>
                  </c:numRef>
                </c:val>
                <c:smooth val="0"/>
                <c:extLst>
                  <c:ext xmlns:c16="http://schemas.microsoft.com/office/drawing/2014/chart" uri="{C3380CC4-5D6E-409C-BE32-E72D297353CC}">
                    <c16:uniqueId val="{00000002-0C65-4577-8F86-72A85DBE0271}"/>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'catchment table'!$Q$4</c15:sqref>
                        </c15:formulaRef>
                      </c:ext>
                    </c:extLst>
                    <c:strCache>
                      <c:ptCount val="1"/>
                      <c:pt idx="0">
                        <c:v>Pb load after treatment of Barney Craig and talings dam</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'catchment table'!$A$47:$A$63</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table'!$Q$47:$Q$63</c15:sqref>
                        </c15:formulaRef>
                      </c:ext>
                    </c:extLst>
                    <c:numCache>
                      <c:formatCode>0.00</c:formatCode>
                      <c:ptCount val="17"/>
                      <c:pt idx="1">
                        <c:v>0.21168000000000003</c:v>
                      </c:pt>
                      <c:pt idx="3">
                        <c:v>3.7290239999999999</c:v>
                      </c:pt>
                      <c:pt idx="4">
                        <c:v>8.3202335999999999</c:v>
                      </c:pt>
                      <c:pt idx="16" formatCode="0.000">
                        <c:v>4.8384</c:v>
                      </c:pt>
                    </c:numCache>
                  </c:numRef>
                </c:val>
                <c:smooth val="0"/>
                <c:extLst>
                  <c:ext xmlns:c16="http://schemas.microsoft.com/office/drawing/2014/chart" uri="{C3380CC4-5D6E-409C-BE32-E72D297353CC}">
                    <c16:uniqueId val="{00000003-0C65-4577-8F86-72A85DBE0271}"/>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'catchment table'!$R$4</c15:sqref>
                        </c15:formulaRef>
                      </c:ext>
                    </c:extLst>
                    <c:strCache>
                      <c:ptCount val="1"/>
                      <c:pt idx="0">
                        <c:v>Pb load after treatment of Barney craig, Tailings dam coal cleugh and coal/alston cleugh diffuse</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'catchment table'!$A$47:$A$63</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table'!$R$47:$R$63</c15:sqref>
                        </c15:formulaRef>
                      </c:ext>
                    </c:extLst>
                    <c:numCache>
                      <c:formatCode>0.00</c:formatCode>
                      <c:ptCount val="17"/>
                      <c:pt idx="1">
                        <c:v>0.21168000000000003</c:v>
                      </c:pt>
                      <c:pt idx="3">
                        <c:v>2.1315744000000003</c:v>
                      </c:pt>
                      <c:pt idx="4">
                        <c:v>6.7227840000000008</c:v>
                      </c:pt>
                      <c:pt idx="16">
                        <c:v>4.8384</c:v>
                      </c:pt>
                    </c:numCache>
                  </c:numRef>
                </c:val>
                <c:smooth val="0"/>
                <c:extLst>
                  <c:ext xmlns:c16="http://schemas.microsoft.com/office/drawing/2014/chart" uri="{C3380CC4-5D6E-409C-BE32-E72D297353CC}">
                    <c16:uniqueId val="{00000004-0C65-4577-8F86-72A85DBE0271}"/>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'catchment table'!$S$4</c15:sqref>
                        </c15:formulaRef>
                      </c:ext>
                    </c:extLst>
                    <c:strCache>
                      <c:ptCount val="1"/>
                      <c:pt idx="0">
                        <c:v>Pb load after treatment of Barney craig, Tailings dam and coal/alston cleugh diffuse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'catchment table'!$A$47:$A$63</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table'!$S$47:$S$63</c15:sqref>
                        </c15:formulaRef>
                      </c:ext>
                    </c:extLst>
                    <c:numCache>
                      <c:formatCode>0.00</c:formatCode>
                      <c:ptCount val="17"/>
                      <c:pt idx="1">
                        <c:v>0.21168000000000003</c:v>
                      </c:pt>
                      <c:pt idx="3">
                        <c:v>2.3220864000000003</c:v>
                      </c:pt>
                      <c:pt idx="4">
                        <c:v>6.9132960000000008</c:v>
                      </c:pt>
                      <c:pt idx="16">
                        <c:v>4.8384</c:v>
                      </c:pt>
                    </c:numCache>
                  </c:numRef>
                </c:val>
                <c:smooth val="0"/>
                <c:extLst>
                  <c:ext xmlns:c16="http://schemas.microsoft.com/office/drawing/2014/chart" uri="{C3380CC4-5D6E-409C-BE32-E72D297353CC}">
                    <c16:uniqueId val="{00000005-0C65-4577-8F86-72A85DBE0271}"/>
                  </c:ext>
                </c:extLst>
              </c15:ser>
            </c15:filteredLineSeries>
          </c:ext>
        </c:extLst>
      </c:lineChart>
      <c:catAx>
        <c:axId val="3535776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a:t>
                </a:r>
                <a:r>
                  <a:rPr lang="en-GB" baseline="0"/>
                  <a:t> down catchment</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578048"/>
        <c:crosses val="autoZero"/>
        <c:auto val="1"/>
        <c:lblAlgn val="ctr"/>
        <c:lblOffset val="100"/>
        <c:noMultiLvlLbl val="0"/>
      </c:catAx>
      <c:valAx>
        <c:axId val="353578048"/>
        <c:scaling>
          <c:orientation val="minMax"/>
          <c:max val="3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Loading </a:t>
                </a:r>
                <a:r>
                  <a:rPr lang="en-GB" baseline="0"/>
                  <a:t>g/day</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577656"/>
        <c:crosses val="autoZero"/>
        <c:crossBetween val="between"/>
        <c:majorUnit val="5"/>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showDLblsOverMax val="0"/>
  </c:chart>
  <c:spPr>
    <a:solidFill>
      <a:schemeClr val="bg1"/>
    </a:solidFill>
    <a:ln w="19050" cap="flat" cmpd="sng" algn="ctr">
      <a:solidFill>
        <a:schemeClr val="accent6">
          <a:lumMod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Zinc load</a:t>
            </a:r>
            <a:r>
              <a:rPr lang="en-GB" baseline="0"/>
              <a:t> and PNEC load before treatment at Q18</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'catchment table'!$B$4</c:f>
              <c:strCache>
                <c:ptCount val="1"/>
                <c:pt idx="0">
                  <c:v>Zn PNEC load</c:v>
                </c:pt>
              </c:strCache>
            </c:strRef>
          </c:tx>
          <c:spPr>
            <a:ln w="28575" cap="rnd">
              <a:solidFill>
                <a:schemeClr val="accent1"/>
              </a:solidFill>
              <a:round/>
            </a:ln>
            <a:effectLst/>
          </c:spPr>
          <c:marker>
            <c:symbol val="none"/>
          </c:marker>
          <c:cat>
            <c:strRef>
              <c:f>'catchment table'!$A$5:$A$21</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table'!$B$5:$B$21</c:f>
              <c:numCache>
                <c:formatCode>0.00</c:formatCode>
                <c:ptCount val="17"/>
                <c:pt idx="1">
                  <c:v>7.7897906597419436E-2</c:v>
                </c:pt>
                <c:pt idx="3">
                  <c:v>0.97284999846428866</c:v>
                </c:pt>
                <c:pt idx="4">
                  <c:v>1.2946641466291653</c:v>
                </c:pt>
                <c:pt idx="16">
                  <c:v>9.1924774244180565</c:v>
                </c:pt>
              </c:numCache>
            </c:numRef>
          </c:val>
          <c:smooth val="0"/>
          <c:extLst>
            <c:ext xmlns:c16="http://schemas.microsoft.com/office/drawing/2014/chart" uri="{C3380CC4-5D6E-409C-BE32-E72D297353CC}">
              <c16:uniqueId val="{00000000-D628-48F5-B9BF-9E9DDF245F29}"/>
            </c:ext>
          </c:extLst>
        </c:ser>
        <c:ser>
          <c:idx val="1"/>
          <c:order val="1"/>
          <c:tx>
            <c:strRef>
              <c:f>'catchment table'!$C$4</c:f>
              <c:strCache>
                <c:ptCount val="1"/>
                <c:pt idx="0">
                  <c:v>Zn Load</c:v>
                </c:pt>
              </c:strCache>
            </c:strRef>
          </c:tx>
          <c:spPr>
            <a:ln w="28575" cap="rnd">
              <a:solidFill>
                <a:schemeClr val="accent2"/>
              </a:solidFill>
              <a:round/>
            </a:ln>
            <a:effectLst/>
          </c:spPr>
          <c:marker>
            <c:symbol val="none"/>
          </c:marker>
          <c:cat>
            <c:strRef>
              <c:f>'catchment table'!$A$5:$A$21</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table'!$C$5:$C$21</c:f>
              <c:numCache>
                <c:formatCode>0.00</c:formatCode>
                <c:ptCount val="17"/>
                <c:pt idx="1">
                  <c:v>0.90478079999999994</c:v>
                </c:pt>
                <c:pt idx="3">
                  <c:v>8.3141856000000001</c:v>
                </c:pt>
                <c:pt idx="4">
                  <c:v>28.8396288</c:v>
                </c:pt>
                <c:pt idx="16" formatCode="0.000">
                  <c:v>49.583145600000002</c:v>
                </c:pt>
              </c:numCache>
            </c:numRef>
          </c:val>
          <c:smooth val="0"/>
          <c:extLst>
            <c:ext xmlns:c16="http://schemas.microsoft.com/office/drawing/2014/chart" uri="{C3380CC4-5D6E-409C-BE32-E72D297353CC}">
              <c16:uniqueId val="{00000001-D628-48F5-B9BF-9E9DDF245F29}"/>
            </c:ext>
          </c:extLst>
        </c:ser>
        <c:dLbls>
          <c:showLegendKey val="0"/>
          <c:showVal val="0"/>
          <c:showCatName val="0"/>
          <c:showSerName val="0"/>
          <c:showPercent val="0"/>
          <c:showBubbleSize val="0"/>
        </c:dLbls>
        <c:smooth val="0"/>
        <c:axId val="352460432"/>
        <c:axId val="326814640"/>
        <c:extLst>
          <c:ext xmlns:c15="http://schemas.microsoft.com/office/drawing/2012/chart" uri="{02D57815-91ED-43cb-92C2-25804820EDAC}">
            <c15:filteredLineSeries>
              <c15:ser>
                <c:idx val="2"/>
                <c:order val="2"/>
                <c:tx>
                  <c:strRef>
                    <c:extLst>
                      <c:ext uri="{02D57815-91ED-43cb-92C2-25804820EDAC}">
                        <c15:formulaRef>
                          <c15:sqref>'catchment table'!$D$4</c15:sqref>
                        </c15:formulaRef>
                      </c:ext>
                    </c:extLst>
                    <c:strCache>
                      <c:ptCount val="1"/>
                      <c:pt idx="0">
                        <c:v>Zn load after treatment of BC 95%</c:v>
                      </c:pt>
                    </c:strCache>
                  </c:strRef>
                </c:tx>
                <c:spPr>
                  <a:ln w="28575" cap="rnd">
                    <a:solidFill>
                      <a:schemeClr val="accent3"/>
                    </a:solidFill>
                    <a:round/>
                  </a:ln>
                  <a:effectLst/>
                </c:spPr>
                <c:marker>
                  <c:symbol val="none"/>
                </c:marker>
                <c:cat>
                  <c:strRef>
                    <c:extLst>
                      <c:ext uri="{02D57815-91ED-43cb-92C2-25804820EDAC}">
                        <c15:formulaRef>
                          <c15:sqref>'catchment table'!$A$5:$A$21</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c:ext uri="{02D57815-91ED-43cb-92C2-25804820EDAC}">
                        <c15:formulaRef>
                          <c15:sqref>'catchment table'!$D$5:$D$21</c15:sqref>
                        </c15:formulaRef>
                      </c:ext>
                    </c:extLst>
                    <c:numCache>
                      <c:formatCode>0.00</c:formatCode>
                      <c:ptCount val="17"/>
                      <c:pt idx="1">
                        <c:v>0.90478079999999994</c:v>
                      </c:pt>
                      <c:pt idx="3">
                        <c:v>8.3141856000000001</c:v>
                      </c:pt>
                      <c:pt idx="4">
                        <c:v>20.730124800000002</c:v>
                      </c:pt>
                      <c:pt idx="16" formatCode="0.000">
                        <c:v>41.473641600000008</c:v>
                      </c:pt>
                    </c:numCache>
                  </c:numRef>
                </c:val>
                <c:smooth val="0"/>
                <c:extLst>
                  <c:ext xmlns:c16="http://schemas.microsoft.com/office/drawing/2014/chart" uri="{C3380CC4-5D6E-409C-BE32-E72D297353CC}">
                    <c16:uniqueId val="{00000002-D628-48F5-B9BF-9E9DDF245F29}"/>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'catchment table'!$E$4</c15:sqref>
                        </c15:formulaRef>
                      </c:ext>
                    </c:extLst>
                    <c:strCache>
                      <c:ptCount val="1"/>
                      <c:pt idx="0">
                        <c:v>Zn load after treatment of Barney Craig and talings dam</c:v>
                      </c:pt>
                    </c:strCache>
                  </c:strRef>
                </c:tx>
                <c:spPr>
                  <a:ln w="28575" cap="rnd">
                    <a:solidFill>
                      <a:schemeClr val="accent4"/>
                    </a:solidFill>
                    <a:round/>
                  </a:ln>
                  <a:effectLst/>
                </c:spPr>
                <c:marker>
                  <c:symbol val="none"/>
                </c:marker>
                <c:cat>
                  <c:strRef>
                    <c:extLst xmlns:c15="http://schemas.microsoft.com/office/drawing/2012/chart">
                      <c:ext xmlns:c15="http://schemas.microsoft.com/office/drawing/2012/chart" uri="{02D57815-91ED-43cb-92C2-25804820EDAC}">
                        <c15:formulaRef>
                          <c15:sqref>'catchment table'!$A$5:$A$21</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table'!$E$5:$E$21</c15:sqref>
                        </c15:formulaRef>
                      </c:ext>
                    </c:extLst>
                    <c:numCache>
                      <c:formatCode>0.00</c:formatCode>
                      <c:ptCount val="17"/>
                      <c:pt idx="1">
                        <c:v>0.90478079999999994</c:v>
                      </c:pt>
                      <c:pt idx="3">
                        <c:v>8.3141856000000001</c:v>
                      </c:pt>
                      <c:pt idx="4">
                        <c:v>15.936549119999999</c:v>
                      </c:pt>
                      <c:pt idx="16">
                        <c:v>36.680065919999997</c:v>
                      </c:pt>
                    </c:numCache>
                  </c:numRef>
                </c:val>
                <c:smooth val="0"/>
                <c:extLst>
                  <c:ext xmlns:c16="http://schemas.microsoft.com/office/drawing/2014/chart" uri="{C3380CC4-5D6E-409C-BE32-E72D297353CC}">
                    <c16:uniqueId val="{00000003-D628-48F5-B9BF-9E9DDF245F29}"/>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'catchment table'!$F$4</c15:sqref>
                        </c15:formulaRef>
                      </c:ext>
                    </c:extLst>
                    <c:strCache>
                      <c:ptCount val="1"/>
                      <c:pt idx="0">
                        <c:v>Zn load after treatment of Barney craig, Tailings dam coal cleugh and coal/alston cleugh diffuse</c:v>
                      </c:pt>
                    </c:strCache>
                  </c:strRef>
                </c:tx>
                <c:spPr>
                  <a:ln w="28575" cap="rnd">
                    <a:solidFill>
                      <a:schemeClr val="accent5"/>
                    </a:solidFill>
                    <a:round/>
                  </a:ln>
                  <a:effectLst/>
                </c:spPr>
                <c:marker>
                  <c:symbol val="none"/>
                </c:marker>
                <c:cat>
                  <c:strRef>
                    <c:extLst xmlns:c15="http://schemas.microsoft.com/office/drawing/2012/chart">
                      <c:ext xmlns:c15="http://schemas.microsoft.com/office/drawing/2012/chart" uri="{02D57815-91ED-43cb-92C2-25804820EDAC}">
                        <c15:formulaRef>
                          <c15:sqref>'catchment table'!$A$5:$A$21</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table'!$F$5:$F$21</c15:sqref>
                        </c15:formulaRef>
                      </c:ext>
                    </c:extLst>
                    <c:numCache>
                      <c:formatCode>0.00</c:formatCode>
                      <c:ptCount val="17"/>
                      <c:pt idx="1">
                        <c:v>9.0478080000000002E-2</c:v>
                      </c:pt>
                      <c:pt idx="3">
                        <c:v>4.5361209599999999</c:v>
                      </c:pt>
                      <c:pt idx="4">
                        <c:v>12.158484479999998</c:v>
                      </c:pt>
                      <c:pt idx="16">
                        <c:v>32.90200128</c:v>
                      </c:pt>
                    </c:numCache>
                  </c:numRef>
                </c:val>
                <c:smooth val="0"/>
                <c:extLst>
                  <c:ext xmlns:c16="http://schemas.microsoft.com/office/drawing/2014/chart" uri="{C3380CC4-5D6E-409C-BE32-E72D297353CC}">
                    <c16:uniqueId val="{00000004-D628-48F5-B9BF-9E9DDF245F29}"/>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'catchment table'!$G$4</c15:sqref>
                        </c15:formulaRef>
                      </c:ext>
                    </c:extLst>
                    <c:strCache>
                      <c:ptCount val="1"/>
                      <c:pt idx="0">
                        <c:v>Zn load after treatment of Barney craig, Tailings dam and coal/alston cleugh diffuse</c:v>
                      </c:pt>
                    </c:strCache>
                  </c:strRef>
                </c:tx>
                <c:spPr>
                  <a:ln w="28575" cap="rnd">
                    <a:solidFill>
                      <a:schemeClr val="accent6"/>
                    </a:solidFill>
                    <a:round/>
                  </a:ln>
                  <a:effectLst/>
                </c:spPr>
                <c:marker>
                  <c:symbol val="none"/>
                </c:marker>
                <c:val>
                  <c:numRef>
                    <c:extLst xmlns:c15="http://schemas.microsoft.com/office/drawing/2012/chart">
                      <c:ext xmlns:c15="http://schemas.microsoft.com/office/drawing/2012/chart" uri="{02D57815-91ED-43cb-92C2-25804820EDAC}">
                        <c15:formulaRef>
                          <c15:sqref>'catchment table'!$G$5:$G$21</c15:sqref>
                        </c15:formulaRef>
                      </c:ext>
                    </c:extLst>
                    <c:numCache>
                      <c:formatCode>0.00</c:formatCode>
                      <c:ptCount val="17"/>
                      <c:pt idx="1">
                        <c:v>0.90478079999999994</c:v>
                      </c:pt>
                      <c:pt idx="3">
                        <c:v>5.3504236800000005</c:v>
                      </c:pt>
                      <c:pt idx="4">
                        <c:v>12.972787199999999</c:v>
                      </c:pt>
                      <c:pt idx="16">
                        <c:v>33.716304000000001</c:v>
                      </c:pt>
                    </c:numCache>
                  </c:numRef>
                </c:val>
                <c:smooth val="0"/>
                <c:extLst>
                  <c:ext xmlns:c16="http://schemas.microsoft.com/office/drawing/2014/chart" uri="{C3380CC4-5D6E-409C-BE32-E72D297353CC}">
                    <c16:uniqueId val="{00000005-D628-48F5-B9BF-9E9DDF245F29}"/>
                  </c:ext>
                </c:extLst>
              </c15:ser>
            </c15:filteredLineSeries>
          </c:ext>
        </c:extLst>
      </c:lineChart>
      <c:catAx>
        <c:axId val="352460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a:t>
                </a:r>
                <a:r>
                  <a:rPr lang="en-GB" baseline="0"/>
                  <a:t> down catchment</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814640"/>
        <c:crosses val="autoZero"/>
        <c:auto val="1"/>
        <c:lblAlgn val="ctr"/>
        <c:lblOffset val="100"/>
        <c:noMultiLvlLbl val="0"/>
      </c:catAx>
      <c:valAx>
        <c:axId val="326814640"/>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 Kg/day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2460432"/>
        <c:crosses val="autoZero"/>
        <c:crossBetween val="between"/>
        <c:majorUnit val="1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showDLblsOverMax val="0"/>
  </c:chart>
  <c:spPr>
    <a:solidFill>
      <a:schemeClr val="bg1"/>
    </a:solidFill>
    <a:ln w="9525" cap="flat" cmpd="sng" algn="ctr">
      <a:solidFill>
        <a:schemeClr val="accent2"/>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Zinc</a:t>
            </a:r>
            <a:r>
              <a:rPr lang="en-GB" baseline="0"/>
              <a:t> load and PNEC before treatment at Q55</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'catchment table'!$B$4</c:f>
              <c:strCache>
                <c:ptCount val="1"/>
                <c:pt idx="0">
                  <c:v>Zn PNEC load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'catchment table'!$A$26:$A$42</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table'!$B$26:$B$42</c:f>
              <c:numCache>
                <c:formatCode>0.00</c:formatCode>
                <c:ptCount val="17"/>
                <c:pt idx="1">
                  <c:v>1.0784185414929757E-2</c:v>
                </c:pt>
                <c:pt idx="3">
                  <c:v>0.10061906774321629</c:v>
                </c:pt>
                <c:pt idx="4">
                  <c:v>0.1140240352892265</c:v>
                </c:pt>
                <c:pt idx="16">
                  <c:v>0.99280006685035616</c:v>
                </c:pt>
              </c:numCache>
            </c:numRef>
          </c:val>
          <c:smooth val="0"/>
          <c:extLst>
            <c:ext xmlns:c16="http://schemas.microsoft.com/office/drawing/2014/chart" uri="{C3380CC4-5D6E-409C-BE32-E72D297353CC}">
              <c16:uniqueId val="{00000000-E1FB-467D-A28F-5720CB827267}"/>
            </c:ext>
          </c:extLst>
        </c:ser>
        <c:ser>
          <c:idx val="1"/>
          <c:order val="1"/>
          <c:tx>
            <c:strRef>
              <c:f>'catchment table'!$C$4</c:f>
              <c:strCache>
                <c:ptCount val="1"/>
                <c:pt idx="0">
                  <c:v>Zn Load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'catchment table'!$A$26:$A$42</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table'!$C$26:$C$42</c:f>
              <c:numCache>
                <c:formatCode>0.00</c:formatCode>
                <c:ptCount val="17"/>
                <c:pt idx="1">
                  <c:v>1.0765439999999999</c:v>
                </c:pt>
                <c:pt idx="3">
                  <c:v>1.2043295999999999</c:v>
                </c:pt>
                <c:pt idx="4">
                  <c:v>9.3856319999999993</c:v>
                </c:pt>
                <c:pt idx="16" formatCode="0.000">
                  <c:v>12.656736</c:v>
                </c:pt>
              </c:numCache>
            </c:numRef>
          </c:val>
          <c:smooth val="0"/>
          <c:extLst>
            <c:ext xmlns:c16="http://schemas.microsoft.com/office/drawing/2014/chart" uri="{C3380CC4-5D6E-409C-BE32-E72D297353CC}">
              <c16:uniqueId val="{00000001-E1FB-467D-A28F-5720CB827267}"/>
            </c:ext>
          </c:extLst>
        </c:ser>
        <c:dLbls>
          <c:showLegendKey val="0"/>
          <c:showVal val="0"/>
          <c:showCatName val="0"/>
          <c:showSerName val="0"/>
          <c:showPercent val="0"/>
          <c:showBubbleSize val="0"/>
        </c:dLbls>
        <c:marker val="1"/>
        <c:smooth val="0"/>
        <c:axId val="326813856"/>
        <c:axId val="326813464"/>
        <c:extLst>
          <c:ext xmlns:c15="http://schemas.microsoft.com/office/drawing/2012/chart" uri="{02D57815-91ED-43cb-92C2-25804820EDAC}">
            <c15:filteredLineSeries>
              <c15:ser>
                <c:idx val="2"/>
                <c:order val="2"/>
                <c:tx>
                  <c:strRef>
                    <c:extLst>
                      <c:ext uri="{02D57815-91ED-43cb-92C2-25804820EDAC}">
                        <c15:formulaRef>
                          <c15:sqref>'catchment table'!$D$4</c15:sqref>
                        </c15:formulaRef>
                      </c:ext>
                    </c:extLst>
                    <c:strCache>
                      <c:ptCount val="1"/>
                      <c:pt idx="0">
                        <c:v>Zn load after treatment of BC 95%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c:ext uri="{02D57815-91ED-43cb-92C2-25804820EDAC}">
                        <c15:formulaRef>
                          <c15:sqref>'catchment table'!$A$26:$A$42</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c:ext uri="{02D57815-91ED-43cb-92C2-25804820EDAC}">
                        <c15:formulaRef>
                          <c15:sqref>'catchment table'!$D$26:$D$42</c15:sqref>
                        </c15:formulaRef>
                      </c:ext>
                    </c:extLst>
                    <c:numCache>
                      <c:formatCode>0.00</c:formatCode>
                      <c:ptCount val="17"/>
                      <c:pt idx="1">
                        <c:v>1.0765439999999999</c:v>
                      </c:pt>
                      <c:pt idx="3">
                        <c:v>1.2043295999999999</c:v>
                      </c:pt>
                      <c:pt idx="4">
                        <c:v>2.600488799999999</c:v>
                      </c:pt>
                      <c:pt idx="16">
                        <c:v>5.8715928000000002</c:v>
                      </c:pt>
                    </c:numCache>
                  </c:numRef>
                </c:val>
                <c:smooth val="0"/>
                <c:extLst>
                  <c:ext xmlns:c16="http://schemas.microsoft.com/office/drawing/2014/chart" uri="{C3380CC4-5D6E-409C-BE32-E72D297353CC}">
                    <c16:uniqueId val="{00000002-E1FB-467D-A28F-5720CB827267}"/>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'catchment table'!$E$4</c15:sqref>
                        </c15:formulaRef>
                      </c:ext>
                    </c:extLst>
                    <c:strCache>
                      <c:ptCount val="1"/>
                      <c:pt idx="0">
                        <c:v>Zn load after treatment of Barney Craig and talings dam</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'catchment table'!$A$26:$A$42</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table'!$E$26:$E$42</c15:sqref>
                        </c15:formulaRef>
                      </c:ext>
                    </c:extLst>
                    <c:numCache>
                      <c:formatCode>0.00</c:formatCode>
                      <c:ptCount val="17"/>
                      <c:pt idx="1">
                        <c:v>1.0765439999999999</c:v>
                      </c:pt>
                      <c:pt idx="3">
                        <c:v>1.2043295999999999</c:v>
                      </c:pt>
                      <c:pt idx="4">
                        <c:v>2.2349001599999996</c:v>
                      </c:pt>
                      <c:pt idx="16" formatCode="0.000">
                        <c:v>5.5060041600000007</c:v>
                      </c:pt>
                    </c:numCache>
                  </c:numRef>
                </c:val>
                <c:smooth val="0"/>
                <c:extLst>
                  <c:ext xmlns:c16="http://schemas.microsoft.com/office/drawing/2014/chart" uri="{C3380CC4-5D6E-409C-BE32-E72D297353CC}">
                    <c16:uniqueId val="{00000003-E1FB-467D-A28F-5720CB827267}"/>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'catchment table'!$F$4</c15:sqref>
                        </c15:formulaRef>
                      </c:ext>
                    </c:extLst>
                    <c:strCache>
                      <c:ptCount val="1"/>
                      <c:pt idx="0">
                        <c:v>Zn load after treatment of Barney craig, Tailings dam coal cleugh and coal/alston cleugh diffuse</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'catchment table'!$A$26:$A$42</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table'!$F$26:$F$42</c15:sqref>
                        </c15:formulaRef>
                      </c:ext>
                    </c:extLst>
                    <c:numCache>
                      <c:formatCode>0.00</c:formatCode>
                      <c:ptCount val="17"/>
                      <c:pt idx="1">
                        <c:v>0.1076544</c:v>
                      </c:pt>
                      <c:pt idx="3" formatCode="0.000">
                        <c:v>0.18432575999999989</c:v>
                      </c:pt>
                      <c:pt idx="4" formatCode="0.000">
                        <c:v>1.2148963199999994</c:v>
                      </c:pt>
                      <c:pt idx="16" formatCode="0.000">
                        <c:v>4.4860003200000005</c:v>
                      </c:pt>
                    </c:numCache>
                  </c:numRef>
                </c:val>
                <c:smooth val="0"/>
                <c:extLst>
                  <c:ext xmlns:c16="http://schemas.microsoft.com/office/drawing/2014/chart" uri="{C3380CC4-5D6E-409C-BE32-E72D297353CC}">
                    <c16:uniqueId val="{00000004-E1FB-467D-A28F-5720CB827267}"/>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'catchment table'!$G$4</c15:sqref>
                        </c15:formulaRef>
                      </c:ext>
                    </c:extLst>
                    <c:strCache>
                      <c:ptCount val="1"/>
                      <c:pt idx="0">
                        <c:v>Zn load after treatment of Barney craig, Tailings dam and coal/alston cleugh diffuse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'catchment table'!$A$26:$A$42</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table'!$G$26:$G$42</c15:sqref>
                        </c15:formulaRef>
                      </c:ext>
                    </c:extLst>
                    <c:numCache>
                      <c:formatCode>0.00</c:formatCode>
                      <c:ptCount val="17"/>
                      <c:pt idx="1">
                        <c:v>1.0765439999999999</c:v>
                      </c:pt>
                      <c:pt idx="3" formatCode="0.000">
                        <c:v>1.1532153599999999</c:v>
                      </c:pt>
                      <c:pt idx="4" formatCode="0.000">
                        <c:v>2.1837859199999992</c:v>
                      </c:pt>
                      <c:pt idx="16" formatCode="0.000">
                        <c:v>5.4548899200000003</c:v>
                      </c:pt>
                    </c:numCache>
                  </c:numRef>
                </c:val>
                <c:smooth val="0"/>
                <c:extLst>
                  <c:ext xmlns:c16="http://schemas.microsoft.com/office/drawing/2014/chart" uri="{C3380CC4-5D6E-409C-BE32-E72D297353CC}">
                    <c16:uniqueId val="{00000005-E1FB-467D-A28F-5720CB827267}"/>
                  </c:ext>
                </c:extLst>
              </c15:ser>
            </c15:filteredLineSeries>
          </c:ext>
        </c:extLst>
      </c:lineChart>
      <c:catAx>
        <c:axId val="3268138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a:t>
                </a:r>
                <a:r>
                  <a:rPr lang="en-GB" baseline="0"/>
                  <a:t> down catchment</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813464"/>
        <c:crosses val="autoZero"/>
        <c:auto val="1"/>
        <c:lblAlgn val="ctr"/>
        <c:lblOffset val="100"/>
        <c:noMultiLvlLbl val="0"/>
      </c:catAx>
      <c:valAx>
        <c:axId val="326813464"/>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 Kg/day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6813856"/>
        <c:crosses val="autoZero"/>
        <c:crossBetween val="between"/>
        <c:majorUnit val="1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showDLblsOverMax val="0"/>
  </c:chart>
  <c:spPr>
    <a:solidFill>
      <a:schemeClr val="bg1"/>
    </a:solidFill>
    <a:ln w="19050" cap="flat" cmpd="sng" algn="ctr">
      <a:solidFill>
        <a:schemeClr val="accent4">
          <a:lumMod val="60000"/>
          <a:lumOff val="40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Zinc load and PNEC load before treatment at Q95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'catchment table'!$B$4</c:f>
              <c:strCache>
                <c:ptCount val="1"/>
                <c:pt idx="0">
                  <c:v>Zn PNEC load</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'catchment table'!$A$47:$A$63</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table'!$B$47:$B$63</c:f>
              <c:numCache>
                <c:formatCode>0.00</c:formatCode>
                <c:ptCount val="17"/>
                <c:pt idx="1">
                  <c:v>9.9301422376852776E-4</c:v>
                </c:pt>
                <c:pt idx="3">
                  <c:v>1.9827592190324036E-2</c:v>
                </c:pt>
                <c:pt idx="4">
                  <c:v>5.7024982923784683E-2</c:v>
                </c:pt>
                <c:pt idx="16">
                  <c:v>0.12596651237341447</c:v>
                </c:pt>
              </c:numCache>
            </c:numRef>
          </c:val>
          <c:smooth val="0"/>
          <c:extLst>
            <c:ext xmlns:c16="http://schemas.microsoft.com/office/drawing/2014/chart" uri="{C3380CC4-5D6E-409C-BE32-E72D297353CC}">
              <c16:uniqueId val="{00000000-9501-42C0-9BD3-0EC7825D469B}"/>
            </c:ext>
          </c:extLst>
        </c:ser>
        <c:ser>
          <c:idx val="1"/>
          <c:order val="1"/>
          <c:tx>
            <c:strRef>
              <c:f>'catchment table'!$C$4</c:f>
              <c:strCache>
                <c:ptCount val="1"/>
                <c:pt idx="0">
                  <c:v>Zn Load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'catchment table'!$A$47:$A$63</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table'!$C$47:$C$63</c:f>
              <c:numCache>
                <c:formatCode>0.00</c:formatCode>
                <c:ptCount val="17"/>
                <c:pt idx="1">
                  <c:v>0.34560000000000002</c:v>
                </c:pt>
                <c:pt idx="3">
                  <c:v>0.1842048</c:v>
                </c:pt>
                <c:pt idx="4">
                  <c:v>6.7858559999999999</c:v>
                </c:pt>
                <c:pt idx="16">
                  <c:v>1.6015104</c:v>
                </c:pt>
              </c:numCache>
            </c:numRef>
          </c:val>
          <c:smooth val="0"/>
          <c:extLst>
            <c:ext xmlns:c16="http://schemas.microsoft.com/office/drawing/2014/chart" uri="{C3380CC4-5D6E-409C-BE32-E72D297353CC}">
              <c16:uniqueId val="{00000001-9501-42C0-9BD3-0EC7825D469B}"/>
            </c:ext>
          </c:extLst>
        </c:ser>
        <c:dLbls>
          <c:showLegendKey val="0"/>
          <c:showVal val="0"/>
          <c:showCatName val="0"/>
          <c:showSerName val="0"/>
          <c:showPercent val="0"/>
          <c:showBubbleSize val="0"/>
        </c:dLbls>
        <c:marker val="1"/>
        <c:smooth val="0"/>
        <c:axId val="353421120"/>
        <c:axId val="353421512"/>
        <c:extLst>
          <c:ext xmlns:c15="http://schemas.microsoft.com/office/drawing/2012/chart" uri="{02D57815-91ED-43cb-92C2-25804820EDAC}">
            <c15:filteredLineSeries>
              <c15:ser>
                <c:idx val="2"/>
                <c:order val="2"/>
                <c:tx>
                  <c:strRef>
                    <c:extLst>
                      <c:ext uri="{02D57815-91ED-43cb-92C2-25804820EDAC}">
                        <c15:formulaRef>
                          <c15:sqref>'catchment table'!$D$4</c15:sqref>
                        </c15:formulaRef>
                      </c:ext>
                    </c:extLst>
                    <c:strCache>
                      <c:ptCount val="1"/>
                      <c:pt idx="0">
                        <c:v>Zn load after treatment of BC 95%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c:ext uri="{02D57815-91ED-43cb-92C2-25804820EDAC}">
                        <c15:formulaRef>
                          <c15:sqref>'catchment table'!$A$47:$A$63</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c:ext uri="{02D57815-91ED-43cb-92C2-25804820EDAC}">
                        <c15:formulaRef>
                          <c15:sqref>'catchment table'!$D$47:$D$63</c15:sqref>
                        </c15:formulaRef>
                      </c:ext>
                    </c:extLst>
                    <c:numCache>
                      <c:formatCode>0.00</c:formatCode>
                      <c:ptCount val="17"/>
                      <c:pt idx="1">
                        <c:v>0.34560000000000002</c:v>
                      </c:pt>
                      <c:pt idx="3">
                        <c:v>0.1842048</c:v>
                      </c:pt>
                      <c:pt idx="4">
                        <c:v>1.4688E-2</c:v>
                      </c:pt>
                      <c:pt idx="16" formatCode="0.000">
                        <c:v>2.4191999999999998E-2</c:v>
                      </c:pt>
                    </c:numCache>
                  </c:numRef>
                </c:val>
                <c:smooth val="0"/>
                <c:extLst>
                  <c:ext xmlns:c16="http://schemas.microsoft.com/office/drawing/2014/chart" uri="{C3380CC4-5D6E-409C-BE32-E72D297353CC}">
                    <c16:uniqueId val="{00000002-9501-42C0-9BD3-0EC7825D469B}"/>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'catchment table'!$E$4</c15:sqref>
                        </c15:formulaRef>
                      </c:ext>
                    </c:extLst>
                    <c:strCache>
                      <c:ptCount val="1"/>
                      <c:pt idx="0">
                        <c:v>Zn load after treatment of Barney Craig and talings dam</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'catchment table'!$A$47:$A$63</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table'!$E$47:$E$63</c15:sqref>
                        </c15:formulaRef>
                      </c:ext>
                    </c:extLst>
                    <c:numCache>
                      <c:formatCode>0.00</c:formatCode>
                      <c:ptCount val="17"/>
                      <c:pt idx="1">
                        <c:v>0.34560000000000002</c:v>
                      </c:pt>
                      <c:pt idx="3">
                        <c:v>0.1842048</c:v>
                      </c:pt>
                      <c:pt idx="4">
                        <c:v>1.4688E-2</c:v>
                      </c:pt>
                      <c:pt idx="16" formatCode="0.000">
                        <c:v>2.4191999999999998E-2</c:v>
                      </c:pt>
                    </c:numCache>
                  </c:numRef>
                </c:val>
                <c:smooth val="0"/>
                <c:extLst>
                  <c:ext xmlns:c16="http://schemas.microsoft.com/office/drawing/2014/chart" uri="{C3380CC4-5D6E-409C-BE32-E72D297353CC}">
                    <c16:uniqueId val="{00000003-9501-42C0-9BD3-0EC7825D469B}"/>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'catchment table'!$F$4</c15:sqref>
                        </c15:formulaRef>
                      </c:ext>
                    </c:extLst>
                    <c:strCache>
                      <c:ptCount val="1"/>
                      <c:pt idx="0">
                        <c:v>Zn load after treatment of Barney craig, Tailings dam coal cleugh and coal/alston cleugh diffuse</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'catchment table'!$A$47:$A$63</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table'!$F$47:$F$63</c15:sqref>
                        </c15:formulaRef>
                      </c:ext>
                    </c:extLst>
                    <c:numCache>
                      <c:formatCode>0.00</c:formatCode>
                      <c:ptCount val="17"/>
                      <c:pt idx="1">
                        <c:v>3.456E-2</c:v>
                      </c:pt>
                      <c:pt idx="3" formatCode="0.000">
                        <c:v>5.6160000000000003E-3</c:v>
                      </c:pt>
                      <c:pt idx="4" formatCode="0.000">
                        <c:v>1.4688E-2</c:v>
                      </c:pt>
                      <c:pt idx="16" formatCode="0.000">
                        <c:v>2.4191999999999998E-2</c:v>
                      </c:pt>
                    </c:numCache>
                  </c:numRef>
                </c:val>
                <c:smooth val="0"/>
                <c:extLst>
                  <c:ext xmlns:c16="http://schemas.microsoft.com/office/drawing/2014/chart" uri="{C3380CC4-5D6E-409C-BE32-E72D297353CC}">
                    <c16:uniqueId val="{00000004-9501-42C0-9BD3-0EC7825D469B}"/>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'catchment table'!$G$4</c15:sqref>
                        </c15:formulaRef>
                      </c:ext>
                    </c:extLst>
                    <c:strCache>
                      <c:ptCount val="1"/>
                      <c:pt idx="0">
                        <c:v>Zn load after treatment of Barney craig, Tailings dam and coal/alston cleugh diffuse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'catchment table'!$A$47:$A$63</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table'!$G$47:$G$63</c15:sqref>
                        </c15:formulaRef>
                      </c:ext>
                    </c:extLst>
                    <c:numCache>
                      <c:formatCode>0.00</c:formatCode>
                      <c:ptCount val="17"/>
                      <c:pt idx="1">
                        <c:v>0.34560000000000002</c:v>
                      </c:pt>
                      <c:pt idx="3" formatCode="0.000">
                        <c:v>0.1842048</c:v>
                      </c:pt>
                      <c:pt idx="4" formatCode="0.000">
                        <c:v>1.4688E-2</c:v>
                      </c:pt>
                      <c:pt idx="16" formatCode="0.000">
                        <c:v>2.4191999999999998E-2</c:v>
                      </c:pt>
                    </c:numCache>
                  </c:numRef>
                </c:val>
                <c:smooth val="0"/>
                <c:extLst>
                  <c:ext xmlns:c16="http://schemas.microsoft.com/office/drawing/2014/chart" uri="{C3380CC4-5D6E-409C-BE32-E72D297353CC}">
                    <c16:uniqueId val="{00000005-9501-42C0-9BD3-0EC7825D469B}"/>
                  </c:ext>
                </c:extLst>
              </c15:ser>
            </c15:filteredLineSeries>
          </c:ext>
        </c:extLst>
      </c:lineChart>
      <c:catAx>
        <c:axId val="3534211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a:t>
                </a:r>
                <a:r>
                  <a:rPr lang="en-GB" baseline="0"/>
                  <a:t> down catchment</a:t>
                </a:r>
                <a:endParaRPr lang="en-GB"/>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421512"/>
        <c:crosses val="autoZero"/>
        <c:auto val="1"/>
        <c:lblAlgn val="ctr"/>
        <c:lblOffset val="100"/>
        <c:noMultiLvlLbl val="0"/>
      </c:catAx>
      <c:valAx>
        <c:axId val="353421512"/>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a:t>
                </a:r>
                <a:r>
                  <a:rPr lang="en-GB" baseline="0"/>
                  <a:t> Kg/day</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4211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showDLblsOverMax val="0"/>
  </c:chart>
  <c:spPr>
    <a:solidFill>
      <a:schemeClr val="bg1"/>
    </a:solidFill>
    <a:ln w="19050" cap="flat" cmpd="sng" algn="ctr">
      <a:solidFill>
        <a:schemeClr val="accent6">
          <a:lumMod val="7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Cadmium and PNEC load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'Cd treatment tables'!$Q$2</c:f>
              <c:strCache>
                <c:ptCount val="1"/>
                <c:pt idx="0">
                  <c:v>PNEC Load g/day</c:v>
                </c:pt>
              </c:strCache>
            </c:strRef>
          </c:tx>
          <c:spPr>
            <a:ln w="28575" cap="rnd">
              <a:solidFill>
                <a:schemeClr val="accent1"/>
              </a:solidFill>
              <a:round/>
            </a:ln>
            <a:effectLst/>
          </c:spPr>
          <c:marker>
            <c:symbol val="none"/>
          </c:marker>
          <c:cat>
            <c:numRef>
              <c:f>'Cd treatment tables'!$B$3:$B$14</c:f>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f>'Cd treatment tables'!$Q$3:$Q$14</c:f>
              <c:numCache>
                <c:formatCode>0.00</c:formatCode>
                <c:ptCount val="12"/>
                <c:pt idx="0">
                  <c:v>0.38707200000000008</c:v>
                </c:pt>
                <c:pt idx="1">
                  <c:v>0.44928000000000001</c:v>
                </c:pt>
                <c:pt idx="2">
                  <c:v>0.73871999999999993</c:v>
                </c:pt>
                <c:pt idx="3">
                  <c:v>0.89424000000000003</c:v>
                </c:pt>
                <c:pt idx="4">
                  <c:v>1.5318720000000001</c:v>
                </c:pt>
                <c:pt idx="5">
                  <c:v>2.6308799999999999</c:v>
                </c:pt>
                <c:pt idx="6">
                  <c:v>3.0196799999999997</c:v>
                </c:pt>
                <c:pt idx="7">
                  <c:v>6.6614399999999998</c:v>
                </c:pt>
                <c:pt idx="8">
                  <c:v>6.5966399999999998</c:v>
                </c:pt>
                <c:pt idx="9">
                  <c:v>4.5023040000000005</c:v>
                </c:pt>
                <c:pt idx="10">
                  <c:v>16.555104</c:v>
                </c:pt>
                <c:pt idx="11">
                  <c:v>19.152287999999999</c:v>
                </c:pt>
              </c:numCache>
            </c:numRef>
          </c:val>
          <c:smooth val="0"/>
          <c:extLst>
            <c:ext xmlns:c16="http://schemas.microsoft.com/office/drawing/2014/chart" uri="{C3380CC4-5D6E-409C-BE32-E72D297353CC}">
              <c16:uniqueId val="{00000000-1531-4504-A5A8-E7C6E1868A25}"/>
            </c:ext>
          </c:extLst>
        </c:ser>
        <c:ser>
          <c:idx val="1"/>
          <c:order val="1"/>
          <c:tx>
            <c:strRef>
              <c:f>'Cd treatment tables'!$Q$17</c:f>
              <c:strCache>
                <c:ptCount val="1"/>
                <c:pt idx="0">
                  <c:v>Load g/day - no treatment</c:v>
                </c:pt>
              </c:strCache>
            </c:strRef>
          </c:tx>
          <c:spPr>
            <a:ln w="28575" cap="rnd">
              <a:solidFill>
                <a:schemeClr val="accent2"/>
              </a:solidFill>
              <a:round/>
            </a:ln>
            <a:effectLst/>
          </c:spPr>
          <c:marker>
            <c:symbol val="none"/>
          </c:marker>
          <c:cat>
            <c:numRef>
              <c:f>'Cd treatment tables'!$B$3:$B$14</c:f>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f>'Cd treatment tables'!$Q$18:$Q$29</c:f>
              <c:numCache>
                <c:formatCode>0.00</c:formatCode>
                <c:ptCount val="12"/>
                <c:pt idx="0">
                  <c:v>5.5157759999999998</c:v>
                </c:pt>
                <c:pt idx="1">
                  <c:v>5.5261440000000004</c:v>
                </c:pt>
                <c:pt idx="2">
                  <c:v>9.1929600000000011</c:v>
                </c:pt>
                <c:pt idx="3">
                  <c:v>9.3199679999999994</c:v>
                </c:pt>
                <c:pt idx="4">
                  <c:v>16.561238400000001</c:v>
                </c:pt>
                <c:pt idx="5">
                  <c:v>18.416160000000001</c:v>
                </c:pt>
                <c:pt idx="6">
                  <c:v>14.897088</c:v>
                </c:pt>
                <c:pt idx="7">
                  <c:v>40.457145600000004</c:v>
                </c:pt>
                <c:pt idx="8">
                  <c:v>40.019615999999999</c:v>
                </c:pt>
                <c:pt idx="9">
                  <c:v>48.474806399999999</c:v>
                </c:pt>
                <c:pt idx="10">
                  <c:v>103.19348160000001</c:v>
                </c:pt>
                <c:pt idx="11">
                  <c:v>123.8514624</c:v>
                </c:pt>
              </c:numCache>
            </c:numRef>
          </c:val>
          <c:smooth val="0"/>
          <c:extLst>
            <c:ext xmlns:c16="http://schemas.microsoft.com/office/drawing/2014/chart" uri="{C3380CC4-5D6E-409C-BE32-E72D297353CC}">
              <c16:uniqueId val="{00000001-1531-4504-A5A8-E7C6E1868A25}"/>
            </c:ext>
          </c:extLst>
        </c:ser>
        <c:dLbls>
          <c:showLegendKey val="0"/>
          <c:showVal val="0"/>
          <c:showCatName val="0"/>
          <c:showSerName val="0"/>
          <c:showPercent val="0"/>
          <c:showBubbleSize val="0"/>
        </c:dLbls>
        <c:smooth val="0"/>
        <c:axId val="353422296"/>
        <c:axId val="353422688"/>
        <c:extLst>
          <c:ext xmlns:c15="http://schemas.microsoft.com/office/drawing/2012/chart" uri="{02D57815-91ED-43cb-92C2-25804820EDAC}">
            <c15:filteredLineSeries>
              <c15:ser>
                <c:idx val="2"/>
                <c:order val="2"/>
                <c:tx>
                  <c:strRef>
                    <c:extLst>
                      <c:ext uri="{02D57815-91ED-43cb-92C2-25804820EDAC}">
                        <c15:formulaRef>
                          <c15:sqref>'Cd treatment tables'!$Q$32</c15:sqref>
                        </c15:formulaRef>
                      </c:ext>
                    </c:extLst>
                    <c:strCache>
                      <c:ptCount val="1"/>
                      <c:pt idx="0">
                        <c:v>Load g/day - Barney Craig (95%)</c:v>
                      </c:pt>
                    </c:strCache>
                  </c:strRef>
                </c:tx>
                <c:spPr>
                  <a:ln w="28575" cap="rnd">
                    <a:solidFill>
                      <a:schemeClr val="accent3"/>
                    </a:solidFill>
                    <a:round/>
                  </a:ln>
                  <a:effectLst/>
                </c:spPr>
                <c:marker>
                  <c:symbol val="none"/>
                </c:marker>
                <c:cat>
                  <c:numRef>
                    <c:extLst>
                      <c:ext uri="{02D57815-91ED-43cb-92C2-25804820EDAC}">
                        <c15:formulaRef>
                          <c15:sqref>'Cd treatment tables'!$B$3:$B$14</c15:sqref>
                        </c15:formulaRef>
                      </c:ext>
                    </c:extLst>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extLst>
                      <c:ext uri="{02D57815-91ED-43cb-92C2-25804820EDAC}">
                        <c15:formulaRef>
                          <c15:sqref>'Cd treatment tables'!$Q$33:$Q$44</c15:sqref>
                        </c15:formulaRef>
                      </c:ext>
                    </c:extLst>
                    <c:numCache>
                      <c:formatCode>0.00</c:formatCode>
                      <c:ptCount val="12"/>
                      <c:pt idx="0">
                        <c:v>0.24192000000000002</c:v>
                      </c:pt>
                      <c:pt idx="1">
                        <c:v>0.28079999999999999</c:v>
                      </c:pt>
                      <c:pt idx="2">
                        <c:v>0.41040000000000004</c:v>
                      </c:pt>
                      <c:pt idx="3">
                        <c:v>1.1606742719999994</c:v>
                      </c:pt>
                      <c:pt idx="4">
                        <c:v>5.8744224000000003</c:v>
                      </c:pt>
                      <c:pt idx="5">
                        <c:v>6.0877440000000007</c:v>
                      </c:pt>
                      <c:pt idx="6">
                        <c:v>14.897088</c:v>
                      </c:pt>
                      <c:pt idx="7">
                        <c:v>31.911386400000005</c:v>
                      </c:pt>
                      <c:pt idx="8">
                        <c:v>32.592065472000002</c:v>
                      </c:pt>
                      <c:pt idx="9">
                        <c:v>38.871446400000004</c:v>
                      </c:pt>
                      <c:pt idx="10">
                        <c:v>97.644192336000003</c:v>
                      </c:pt>
                      <c:pt idx="11">
                        <c:v>113.82128640000001</c:v>
                      </c:pt>
                    </c:numCache>
                  </c:numRef>
                </c:val>
                <c:smooth val="0"/>
                <c:extLst>
                  <c:ext xmlns:c16="http://schemas.microsoft.com/office/drawing/2014/chart" uri="{C3380CC4-5D6E-409C-BE32-E72D297353CC}">
                    <c16:uniqueId val="{00000002-1531-4504-A5A8-E7C6E1868A25}"/>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'Cd treatment tables'!$Q$47</c15:sqref>
                        </c15:formulaRef>
                      </c:ext>
                    </c:extLst>
                    <c:strCache>
                      <c:ptCount val="1"/>
                      <c:pt idx="0">
                        <c:v>Load g/day - Barney Craig (95%) and Tailings(50%)</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'Cd treatment tables'!$B$3:$B$14</c15:sqref>
                        </c15:formulaRef>
                      </c:ext>
                    </c:extLst>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extLst xmlns:c15="http://schemas.microsoft.com/office/drawing/2012/chart">
                      <c:ext xmlns:c15="http://schemas.microsoft.com/office/drawing/2012/chart" uri="{02D57815-91ED-43cb-92C2-25804820EDAC}">
                        <c15:formulaRef>
                          <c15:sqref>'Cd treatment tables'!$Q$48:$Q$59</c15:sqref>
                        </c15:formulaRef>
                      </c:ext>
                    </c:extLst>
                    <c:numCache>
                      <c:formatCode>0.00</c:formatCode>
                      <c:ptCount val="12"/>
                      <c:pt idx="0">
                        <c:v>0.24192000000000002</c:v>
                      </c:pt>
                      <c:pt idx="1">
                        <c:v>0.28079999999999999</c:v>
                      </c:pt>
                      <c:pt idx="2">
                        <c:v>0.41040000000000004</c:v>
                      </c:pt>
                      <c:pt idx="3">
                        <c:v>0.33043075200000011</c:v>
                      </c:pt>
                      <c:pt idx="4">
                        <c:v>3.0063830400000011</c:v>
                      </c:pt>
                      <c:pt idx="5">
                        <c:v>5.7257064000000009</c:v>
                      </c:pt>
                      <c:pt idx="6">
                        <c:v>8.6068223999999987</c:v>
                      </c:pt>
                      <c:pt idx="7">
                        <c:v>30.90189312</c:v>
                      </c:pt>
                      <c:pt idx="8">
                        <c:v>30.254923872000003</c:v>
                      </c:pt>
                      <c:pt idx="9">
                        <c:v>38.562368976000009</c:v>
                      </c:pt>
                      <c:pt idx="10">
                        <c:v>92.306637936000001</c:v>
                      </c:pt>
                      <c:pt idx="11">
                        <c:v>104.84337168</c:v>
                      </c:pt>
                    </c:numCache>
                  </c:numRef>
                </c:val>
                <c:smooth val="0"/>
                <c:extLst>
                  <c:ext xmlns:c16="http://schemas.microsoft.com/office/drawing/2014/chart" uri="{C3380CC4-5D6E-409C-BE32-E72D297353CC}">
                    <c16:uniqueId val="{00000003-1531-4504-A5A8-E7C6E1868A25}"/>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'Cd treatment tables'!$Q$62</c15:sqref>
                        </c15:formulaRef>
                      </c:ext>
                    </c:extLst>
                    <c:strCache>
                      <c:ptCount val="1"/>
                      <c:pt idx="0">
                        <c:v>Load g/day - Barney Craig (95%), Tailings dam (50%), Coal cleugh (90%), diffuse upstream minesite (40%)</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'Cd treatment tables'!$B$3:$B$14</c15:sqref>
                        </c15:formulaRef>
                      </c:ext>
                    </c:extLst>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extLst xmlns:c15="http://schemas.microsoft.com/office/drawing/2012/chart">
                      <c:ext xmlns:c15="http://schemas.microsoft.com/office/drawing/2012/chart" uri="{02D57815-91ED-43cb-92C2-25804820EDAC}">
                        <c15:formulaRef>
                          <c15:sqref>'Cd treatment tables'!$Q$63:$Q$74</c15:sqref>
                        </c15:formulaRef>
                      </c:ext>
                    </c:extLst>
                    <c:numCache>
                      <c:formatCode>0.00</c:formatCode>
                      <c:ptCount val="12"/>
                      <c:pt idx="0">
                        <c:v>0.24192000000000002</c:v>
                      </c:pt>
                      <c:pt idx="1">
                        <c:v>0.28079999999999999</c:v>
                      </c:pt>
                      <c:pt idx="2">
                        <c:v>0.41040000000000004</c:v>
                      </c:pt>
                      <c:pt idx="3">
                        <c:v>0.49680000000000002</c:v>
                      </c:pt>
                      <c:pt idx="4">
                        <c:v>0.85104000000000013</c:v>
                      </c:pt>
                      <c:pt idx="5">
                        <c:v>2.7590068800000016</c:v>
                      </c:pt>
                      <c:pt idx="6">
                        <c:v>5.6816121599999994</c:v>
                      </c:pt>
                      <c:pt idx="7">
                        <c:v>28.853418240000003</c:v>
                      </c:pt>
                      <c:pt idx="8">
                        <c:v>28.715828832000007</c:v>
                      </c:pt>
                      <c:pt idx="9">
                        <c:v>36.763434576000002</c:v>
                      </c:pt>
                      <c:pt idx="10">
                        <c:v>87.940310256000004</c:v>
                      </c:pt>
                      <c:pt idx="11">
                        <c:v>94.799820959999991</c:v>
                      </c:pt>
                    </c:numCache>
                  </c:numRef>
                </c:val>
                <c:smooth val="0"/>
                <c:extLst>
                  <c:ext xmlns:c16="http://schemas.microsoft.com/office/drawing/2014/chart" uri="{C3380CC4-5D6E-409C-BE32-E72D297353CC}">
                    <c16:uniqueId val="{00000004-1531-4504-A5A8-E7C6E1868A25}"/>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'Cd treatment tables'!$Q$77</c15:sqref>
                        </c15:formulaRef>
                      </c:ext>
                    </c:extLst>
                    <c:strCache>
                      <c:ptCount val="1"/>
                      <c:pt idx="0">
                        <c:v>Load g/day - Barney Craig (95%), Tailings dam (50%), Coal cleugh (90%), diffuse upstream minesite (40%)</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'Cd treatment tables'!$B$3:$B$14</c15:sqref>
                        </c15:formulaRef>
                      </c:ext>
                    </c:extLst>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extLst xmlns:c15="http://schemas.microsoft.com/office/drawing/2012/chart">
                      <c:ext xmlns:c15="http://schemas.microsoft.com/office/drawing/2012/chart" uri="{02D57815-91ED-43cb-92C2-25804820EDAC}">
                        <c15:formulaRef>
                          <c15:sqref>'Cd treatment tables'!$Q$78:$Q$89</c15:sqref>
                        </c15:formulaRef>
                      </c:ext>
                    </c:extLst>
                    <c:numCache>
                      <c:formatCode>0.00</c:formatCode>
                      <c:ptCount val="12"/>
                      <c:pt idx="0">
                        <c:v>0.24192000000000002</c:v>
                      </c:pt>
                      <c:pt idx="1">
                        <c:v>0.28079999999999999</c:v>
                      </c:pt>
                      <c:pt idx="2">
                        <c:v>0.41040000000000004</c:v>
                      </c:pt>
                      <c:pt idx="3">
                        <c:v>0.21990787200000006</c:v>
                      </c:pt>
                      <c:pt idx="4">
                        <c:v>0.56506464000000145</c:v>
                      </c:pt>
                      <c:pt idx="5">
                        <c:v>4.2519988800000021</c:v>
                      </c:pt>
                      <c:pt idx="6">
                        <c:v>6.822351359999999</c:v>
                      </c:pt>
                      <c:pt idx="7">
                        <c:v>30.344855039999999</c:v>
                      </c:pt>
                      <c:pt idx="8">
                        <c:v>29.303694432000004</c:v>
                      </c:pt>
                      <c:pt idx="9">
                        <c:v>37.759540176000002</c:v>
                      </c:pt>
                      <c:pt idx="10">
                        <c:v>88.787116655999995</c:v>
                      </c:pt>
                      <c:pt idx="11">
                        <c:v>96.589545119999997</c:v>
                      </c:pt>
                    </c:numCache>
                  </c:numRef>
                </c:val>
                <c:smooth val="0"/>
                <c:extLst>
                  <c:ext xmlns:c16="http://schemas.microsoft.com/office/drawing/2014/chart" uri="{C3380CC4-5D6E-409C-BE32-E72D297353CC}">
                    <c16:uniqueId val="{00000005-1531-4504-A5A8-E7C6E1868A25}"/>
                  </c:ext>
                </c:extLst>
              </c15:ser>
            </c15:filteredLineSeries>
          </c:ext>
        </c:extLst>
      </c:lineChart>
      <c:catAx>
        <c:axId val="353422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Q value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422688"/>
        <c:crosses val="autoZero"/>
        <c:auto val="1"/>
        <c:lblAlgn val="ctr"/>
        <c:lblOffset val="100"/>
        <c:noMultiLvlLbl val="0"/>
      </c:catAx>
      <c:valAx>
        <c:axId val="353422688"/>
        <c:scaling>
          <c:orientation val="minMax"/>
          <c:max val="13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Loading </a:t>
                </a:r>
                <a:r>
                  <a:rPr lang="en-GB" baseline="0"/>
                  <a:t>g/day</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422296"/>
        <c:crosses val="autoZero"/>
        <c:crossBetween val="between"/>
        <c:majorUnit val="2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accent1"/>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Cadmium and PNEC load before treatment at Q18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'catchment table'!$H$4</c:f>
              <c:strCache>
                <c:ptCount val="1"/>
                <c:pt idx="0">
                  <c:v>Cd PNEC load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'catchment table'!$A$5:$A$21</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table'!$H$5:$H$21</c:f>
              <c:numCache>
                <c:formatCode>0.00</c:formatCode>
                <c:ptCount val="17"/>
                <c:pt idx="1">
                  <c:v>0.43545600000000001</c:v>
                </c:pt>
                <c:pt idx="3">
                  <c:v>2.8546559999999999</c:v>
                </c:pt>
                <c:pt idx="4">
                  <c:v>4.2690239999999999</c:v>
                </c:pt>
                <c:pt idx="16">
                  <c:v>19.152287999999999</c:v>
                </c:pt>
              </c:numCache>
            </c:numRef>
          </c:val>
          <c:smooth val="0"/>
          <c:extLst>
            <c:ext xmlns:c16="http://schemas.microsoft.com/office/drawing/2014/chart" uri="{C3380CC4-5D6E-409C-BE32-E72D297353CC}">
              <c16:uniqueId val="{00000000-F415-46CE-A859-FFAD4E331EC9}"/>
            </c:ext>
          </c:extLst>
        </c:ser>
        <c:ser>
          <c:idx val="1"/>
          <c:order val="1"/>
          <c:tx>
            <c:strRef>
              <c:f>'catchment table'!$I$4</c:f>
              <c:strCache>
                <c:ptCount val="1"/>
                <c:pt idx="0">
                  <c:v>Cd Load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'catchment table'!$A$5:$A$21</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table'!$I$5:$I$21</c:f>
              <c:numCache>
                <c:formatCode>0.00</c:formatCode>
                <c:ptCount val="17"/>
                <c:pt idx="1">
                  <c:v>1.9885823999999999</c:v>
                </c:pt>
                <c:pt idx="3">
                  <c:v>22.623148799999999</c:v>
                </c:pt>
                <c:pt idx="4">
                  <c:v>54.074303999999991</c:v>
                </c:pt>
                <c:pt idx="16">
                  <c:v>123.8514624</c:v>
                </c:pt>
              </c:numCache>
            </c:numRef>
          </c:val>
          <c:smooth val="0"/>
          <c:extLst>
            <c:ext xmlns:c16="http://schemas.microsoft.com/office/drawing/2014/chart" uri="{C3380CC4-5D6E-409C-BE32-E72D297353CC}">
              <c16:uniqueId val="{00000001-F415-46CE-A859-FFAD4E331EC9}"/>
            </c:ext>
          </c:extLst>
        </c:ser>
        <c:dLbls>
          <c:showLegendKey val="0"/>
          <c:showVal val="0"/>
          <c:showCatName val="0"/>
          <c:showSerName val="0"/>
          <c:showPercent val="0"/>
          <c:showBubbleSize val="0"/>
        </c:dLbls>
        <c:marker val="1"/>
        <c:smooth val="0"/>
        <c:axId val="353423864"/>
        <c:axId val="353424256"/>
        <c:extLst>
          <c:ext xmlns:c15="http://schemas.microsoft.com/office/drawing/2012/chart" uri="{02D57815-91ED-43cb-92C2-25804820EDAC}">
            <c15:filteredLineSeries>
              <c15:ser>
                <c:idx val="2"/>
                <c:order val="2"/>
                <c:tx>
                  <c:strRef>
                    <c:extLst>
                      <c:ext uri="{02D57815-91ED-43cb-92C2-25804820EDAC}">
                        <c15:formulaRef>
                          <c15:sqref>'catchment table'!$J$4</c15:sqref>
                        </c15:formulaRef>
                      </c:ext>
                    </c:extLst>
                    <c:strCache>
                      <c:ptCount val="1"/>
                      <c:pt idx="0">
                        <c:v>Cd load after treatment of BC 95%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c:ext uri="{02D57815-91ED-43cb-92C2-25804820EDAC}">
                        <c15:formulaRef>
                          <c15:sqref>'catchment table'!$A$5:$A$21</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c:ext uri="{02D57815-91ED-43cb-92C2-25804820EDAC}">
                        <c15:formulaRef>
                          <c15:sqref>'catchment table'!$J$5:$J$21</c15:sqref>
                        </c15:formulaRef>
                      </c:ext>
                    </c:extLst>
                    <c:numCache>
                      <c:formatCode>0.00</c:formatCode>
                      <c:ptCount val="17"/>
                      <c:pt idx="1">
                        <c:v>1.9885823999999999</c:v>
                      </c:pt>
                      <c:pt idx="3">
                        <c:v>22.623148799999999</c:v>
                      </c:pt>
                      <c:pt idx="4">
                        <c:v>44.044128000000001</c:v>
                      </c:pt>
                      <c:pt idx="16" formatCode="0.000">
                        <c:v>113.82128640000001</c:v>
                      </c:pt>
                    </c:numCache>
                  </c:numRef>
                </c:val>
                <c:smooth val="0"/>
                <c:extLst>
                  <c:ext xmlns:c16="http://schemas.microsoft.com/office/drawing/2014/chart" uri="{C3380CC4-5D6E-409C-BE32-E72D297353CC}">
                    <c16:uniqueId val="{00000002-F415-46CE-A859-FFAD4E331EC9}"/>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'catchment table'!$K$4</c15:sqref>
                        </c15:formulaRef>
                      </c:ext>
                    </c:extLst>
                    <c:strCache>
                      <c:ptCount val="1"/>
                      <c:pt idx="0">
                        <c:v>Cd load after treatment of Barney Craig and talings dam</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'catchment table'!$A$5:$A$21</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table'!$K$5:$K$21</c15:sqref>
                        </c15:formulaRef>
                      </c:ext>
                    </c:extLst>
                    <c:numCache>
                      <c:formatCode>0.00</c:formatCode>
                      <c:ptCount val="17"/>
                      <c:pt idx="1">
                        <c:v>1.9885823999999999</c:v>
                      </c:pt>
                      <c:pt idx="3">
                        <c:v>22.623148799999999</c:v>
                      </c:pt>
                      <c:pt idx="4">
                        <c:v>35.066213279999999</c:v>
                      </c:pt>
                      <c:pt idx="16" formatCode="0.000">
                        <c:v>104.84337168</c:v>
                      </c:pt>
                    </c:numCache>
                  </c:numRef>
                </c:val>
                <c:smooth val="0"/>
                <c:extLst>
                  <c:ext xmlns:c16="http://schemas.microsoft.com/office/drawing/2014/chart" uri="{C3380CC4-5D6E-409C-BE32-E72D297353CC}">
                    <c16:uniqueId val="{00000003-F415-46CE-A859-FFAD4E331EC9}"/>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'catchment table'!$L$4</c15:sqref>
                        </c15:formulaRef>
                      </c:ext>
                    </c:extLst>
                    <c:strCache>
                      <c:ptCount val="1"/>
                      <c:pt idx="0">
                        <c:v>Cd load after treatment of Barney craig, Tailings dam coal cleugh and coal/alston cleugh diffuse</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'catchment table'!$A$5:$A$21</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table'!$L$5:$L$21</c15:sqref>
                        </c15:formulaRef>
                      </c:ext>
                    </c:extLst>
                    <c:numCache>
                      <c:formatCode>0.00</c:formatCode>
                      <c:ptCount val="17"/>
                      <c:pt idx="1">
                        <c:v>0.19885823999999999</c:v>
                      </c:pt>
                      <c:pt idx="3">
                        <c:v>12.57959808</c:v>
                      </c:pt>
                      <c:pt idx="4">
                        <c:v>25.022662559999997</c:v>
                      </c:pt>
                      <c:pt idx="16">
                        <c:v>94.799820959999991</c:v>
                      </c:pt>
                    </c:numCache>
                  </c:numRef>
                </c:val>
                <c:smooth val="0"/>
                <c:extLst>
                  <c:ext xmlns:c16="http://schemas.microsoft.com/office/drawing/2014/chart" uri="{C3380CC4-5D6E-409C-BE32-E72D297353CC}">
                    <c16:uniqueId val="{00000004-F415-46CE-A859-FFAD4E331EC9}"/>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'catchment table'!$M$4</c15:sqref>
                        </c15:formulaRef>
                      </c:ext>
                    </c:extLst>
                    <c:strCache>
                      <c:ptCount val="1"/>
                      <c:pt idx="0">
                        <c:v>Cd load after treatment of Barney craig, Tailings dam and coal/alston cleugh diffuse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'catchment table'!$A$5:$A$21</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table'!$M$5:$M$21</c15:sqref>
                        </c15:formulaRef>
                      </c:ext>
                    </c:extLst>
                    <c:numCache>
                      <c:formatCode>0.00</c:formatCode>
                      <c:ptCount val="17"/>
                      <c:pt idx="1">
                        <c:v>1.9885823999999999</c:v>
                      </c:pt>
                      <c:pt idx="3">
                        <c:v>14.369322240000001</c:v>
                      </c:pt>
                      <c:pt idx="4">
                        <c:v>26.812386720000003</c:v>
                      </c:pt>
                      <c:pt idx="16">
                        <c:v>96.589545119999997</c:v>
                      </c:pt>
                    </c:numCache>
                  </c:numRef>
                </c:val>
                <c:smooth val="0"/>
                <c:extLst>
                  <c:ext xmlns:c16="http://schemas.microsoft.com/office/drawing/2014/chart" uri="{C3380CC4-5D6E-409C-BE32-E72D297353CC}">
                    <c16:uniqueId val="{00000005-F415-46CE-A859-FFAD4E331EC9}"/>
                  </c:ext>
                </c:extLst>
              </c15:ser>
            </c15:filteredLineSeries>
          </c:ext>
        </c:extLst>
      </c:lineChart>
      <c:catAx>
        <c:axId val="35342386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 down catchment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424256"/>
        <c:crosses val="autoZero"/>
        <c:auto val="1"/>
        <c:lblAlgn val="ctr"/>
        <c:lblOffset val="100"/>
        <c:noMultiLvlLbl val="0"/>
      </c:catAx>
      <c:valAx>
        <c:axId val="353424256"/>
        <c:scaling>
          <c:orientation val="minMax"/>
          <c:max val="13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Loading </a:t>
                </a:r>
                <a:r>
                  <a:rPr lang="en-GB" baseline="0"/>
                  <a:t>g/day</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423864"/>
        <c:crosses val="autoZero"/>
        <c:crossBetween val="between"/>
        <c:majorUnit val="2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showDLblsOverMax val="0"/>
  </c:chart>
  <c:spPr>
    <a:solidFill>
      <a:schemeClr val="bg1"/>
    </a:solidFill>
    <a:ln w="19050" cap="flat" cmpd="sng" algn="ctr">
      <a:solidFill>
        <a:schemeClr val="accent2">
          <a:lumMod val="7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Cadmium and PNEC load before</a:t>
            </a:r>
            <a:r>
              <a:rPr lang="en-GB" baseline="0"/>
              <a:t> </a:t>
            </a:r>
            <a:r>
              <a:rPr lang="en-GB"/>
              <a:t>treatment at Q55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'catchment table'!$H$4</c:f>
              <c:strCache>
                <c:ptCount val="1"/>
                <c:pt idx="0">
                  <c:v>Cd PNEC load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'catchment table'!$A$26:$A$42</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table'!$H$26:$H$42</c:f>
              <c:numCache>
                <c:formatCode>0.00</c:formatCode>
                <c:ptCount val="17"/>
                <c:pt idx="1">
                  <c:v>4.838400000000001E-2</c:v>
                </c:pt>
                <c:pt idx="3">
                  <c:v>0.41212799999999999</c:v>
                </c:pt>
                <c:pt idx="4">
                  <c:v>1.5336000000000001</c:v>
                </c:pt>
                <c:pt idx="16">
                  <c:v>6.6614399999999998</c:v>
                </c:pt>
              </c:numCache>
            </c:numRef>
          </c:val>
          <c:smooth val="0"/>
          <c:extLst>
            <c:ext xmlns:c16="http://schemas.microsoft.com/office/drawing/2014/chart" uri="{C3380CC4-5D6E-409C-BE32-E72D297353CC}">
              <c16:uniqueId val="{00000000-AD78-4CB2-B895-25CE2E22DED5}"/>
            </c:ext>
          </c:extLst>
        </c:ser>
        <c:ser>
          <c:idx val="1"/>
          <c:order val="1"/>
          <c:tx>
            <c:strRef>
              <c:f>'catchment table'!$I$4</c:f>
              <c:strCache>
                <c:ptCount val="1"/>
                <c:pt idx="0">
                  <c:v>Cd Load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'catchment table'!$A$26:$A$42</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table'!$I$26:$I$42</c:f>
              <c:numCache>
                <c:formatCode>0.00</c:formatCode>
                <c:ptCount val="17"/>
                <c:pt idx="1">
                  <c:v>1.657152</c:v>
                </c:pt>
                <c:pt idx="3">
                  <c:v>3.0497472000000001</c:v>
                </c:pt>
                <c:pt idx="4">
                  <c:v>14.354495999999999</c:v>
                </c:pt>
                <c:pt idx="16">
                  <c:v>40.457145600000004</c:v>
                </c:pt>
              </c:numCache>
            </c:numRef>
          </c:val>
          <c:smooth val="0"/>
          <c:extLst>
            <c:ext xmlns:c16="http://schemas.microsoft.com/office/drawing/2014/chart" uri="{C3380CC4-5D6E-409C-BE32-E72D297353CC}">
              <c16:uniqueId val="{00000001-AD78-4CB2-B895-25CE2E22DED5}"/>
            </c:ext>
          </c:extLst>
        </c:ser>
        <c:dLbls>
          <c:showLegendKey val="0"/>
          <c:showVal val="0"/>
          <c:showCatName val="0"/>
          <c:showSerName val="0"/>
          <c:showPercent val="0"/>
          <c:showBubbleSize val="0"/>
        </c:dLbls>
        <c:marker val="1"/>
        <c:smooth val="0"/>
        <c:axId val="353209976"/>
        <c:axId val="353210368"/>
        <c:extLst>
          <c:ext xmlns:c15="http://schemas.microsoft.com/office/drawing/2012/chart" uri="{02D57815-91ED-43cb-92C2-25804820EDAC}">
            <c15:filteredLineSeries>
              <c15:ser>
                <c:idx val="2"/>
                <c:order val="2"/>
                <c:tx>
                  <c:strRef>
                    <c:extLst>
                      <c:ext uri="{02D57815-91ED-43cb-92C2-25804820EDAC}">
                        <c15:formulaRef>
                          <c15:sqref>'catchment table'!$J$4</c15:sqref>
                        </c15:formulaRef>
                      </c:ext>
                    </c:extLst>
                    <c:strCache>
                      <c:ptCount val="1"/>
                      <c:pt idx="0">
                        <c:v>Cd load after treatment of BC 95%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c:ext uri="{02D57815-91ED-43cb-92C2-25804820EDAC}">
                        <c15:formulaRef>
                          <c15:sqref>'catchment table'!$A$26:$A$42</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c:ext uri="{02D57815-91ED-43cb-92C2-25804820EDAC}">
                        <c15:formulaRef>
                          <c15:sqref>'catchment table'!$J$26:$J$42</c15:sqref>
                        </c15:formulaRef>
                      </c:ext>
                    </c:extLst>
                    <c:numCache>
                      <c:formatCode>0.00</c:formatCode>
                      <c:ptCount val="17"/>
                      <c:pt idx="1">
                        <c:v>1.657152</c:v>
                      </c:pt>
                      <c:pt idx="3">
                        <c:v>3.0497472000000001</c:v>
                      </c:pt>
                      <c:pt idx="4">
                        <c:v>5.8087368000000019</c:v>
                      </c:pt>
                      <c:pt idx="16">
                        <c:v>31.911386400000005</c:v>
                      </c:pt>
                    </c:numCache>
                  </c:numRef>
                </c:val>
                <c:smooth val="0"/>
                <c:extLst>
                  <c:ext xmlns:c16="http://schemas.microsoft.com/office/drawing/2014/chart" uri="{C3380CC4-5D6E-409C-BE32-E72D297353CC}">
                    <c16:uniqueId val="{00000002-AD78-4CB2-B895-25CE2E22DED5}"/>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'catchment table'!$K$4</c15:sqref>
                        </c15:formulaRef>
                      </c:ext>
                    </c:extLst>
                    <c:strCache>
                      <c:ptCount val="1"/>
                      <c:pt idx="0">
                        <c:v>Cd load after treatment of Barney Craig and talings dam</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'catchment table'!$A$26:$A$42</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table'!$K$26:$K$42</c15:sqref>
                        </c15:formulaRef>
                      </c:ext>
                    </c:extLst>
                    <c:numCache>
                      <c:formatCode>0.00</c:formatCode>
                      <c:ptCount val="17"/>
                      <c:pt idx="1">
                        <c:v>1.657152</c:v>
                      </c:pt>
                      <c:pt idx="3">
                        <c:v>3.0497472000000001</c:v>
                      </c:pt>
                      <c:pt idx="4">
                        <c:v>4.7992435200000001</c:v>
                      </c:pt>
                      <c:pt idx="16">
                        <c:v>30.90189312</c:v>
                      </c:pt>
                    </c:numCache>
                  </c:numRef>
                </c:val>
                <c:smooth val="0"/>
                <c:extLst>
                  <c:ext xmlns:c16="http://schemas.microsoft.com/office/drawing/2014/chart" uri="{C3380CC4-5D6E-409C-BE32-E72D297353CC}">
                    <c16:uniqueId val="{00000003-AD78-4CB2-B895-25CE2E22DED5}"/>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'catchment table'!$L$4</c15:sqref>
                        </c15:formulaRef>
                      </c:ext>
                    </c:extLst>
                    <c:strCache>
                      <c:ptCount val="1"/>
                      <c:pt idx="0">
                        <c:v>Cd load after treatment of Barney craig, Tailings dam coal cleugh and coal/alston cleugh diffuse</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'catchment table'!$A$26:$A$42</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table'!$L$26:$L$42</c15:sqref>
                        </c15:formulaRef>
                      </c:ext>
                    </c:extLst>
                    <c:numCache>
                      <c:formatCode>0.00</c:formatCode>
                      <c:ptCount val="17"/>
                      <c:pt idx="1">
                        <c:v>0.16571520000000003</c:v>
                      </c:pt>
                      <c:pt idx="3">
                        <c:v>1.0012723199999998</c:v>
                      </c:pt>
                      <c:pt idx="4">
                        <c:v>2.7507686399999995</c:v>
                      </c:pt>
                      <c:pt idx="16">
                        <c:v>28.853418240000003</c:v>
                      </c:pt>
                    </c:numCache>
                  </c:numRef>
                </c:val>
                <c:smooth val="0"/>
                <c:extLst>
                  <c:ext xmlns:c16="http://schemas.microsoft.com/office/drawing/2014/chart" uri="{C3380CC4-5D6E-409C-BE32-E72D297353CC}">
                    <c16:uniqueId val="{00000004-AD78-4CB2-B895-25CE2E22DED5}"/>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'catchment table'!$M$4</c15:sqref>
                        </c15:formulaRef>
                      </c:ext>
                    </c:extLst>
                    <c:strCache>
                      <c:ptCount val="1"/>
                      <c:pt idx="0">
                        <c:v>Cd load after treatment of Barney craig, Tailings dam and coal/alston cleugh diffuse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'catchment table'!$A$26:$A$42</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table'!$M$26:$M$42</c15:sqref>
                        </c15:formulaRef>
                      </c:ext>
                    </c:extLst>
                    <c:numCache>
                      <c:formatCode>0.00</c:formatCode>
                      <c:ptCount val="17"/>
                      <c:pt idx="1">
                        <c:v>1.657152</c:v>
                      </c:pt>
                      <c:pt idx="3">
                        <c:v>2.4927091199999998</c:v>
                      </c:pt>
                      <c:pt idx="4">
                        <c:v>4.2422054399999984</c:v>
                      </c:pt>
                      <c:pt idx="16">
                        <c:v>30.344855039999999</c:v>
                      </c:pt>
                    </c:numCache>
                  </c:numRef>
                </c:val>
                <c:smooth val="0"/>
                <c:extLst>
                  <c:ext xmlns:c16="http://schemas.microsoft.com/office/drawing/2014/chart" uri="{C3380CC4-5D6E-409C-BE32-E72D297353CC}">
                    <c16:uniqueId val="{00000005-AD78-4CB2-B895-25CE2E22DED5}"/>
                  </c:ext>
                </c:extLst>
              </c15:ser>
            </c15:filteredLineSeries>
          </c:ext>
        </c:extLst>
      </c:lineChart>
      <c:catAx>
        <c:axId val="3532099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 down catchment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210368"/>
        <c:crosses val="autoZero"/>
        <c:auto val="1"/>
        <c:lblAlgn val="ctr"/>
        <c:lblOffset val="100"/>
        <c:noMultiLvlLbl val="0"/>
      </c:catAx>
      <c:valAx>
        <c:axId val="353210368"/>
        <c:scaling>
          <c:orientation val="minMax"/>
          <c:max val="1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Loading </a:t>
                </a:r>
                <a:r>
                  <a:rPr lang="en-GB" baseline="0"/>
                  <a:t>g/day</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209976"/>
        <c:crosses val="autoZero"/>
        <c:crossBetween val="between"/>
        <c:majorUnit val="2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showDLblsOverMax val="0"/>
  </c:chart>
  <c:spPr>
    <a:solidFill>
      <a:schemeClr val="bg1"/>
    </a:solidFill>
    <a:ln w="19050" cap="flat" cmpd="sng" algn="ctr">
      <a:solidFill>
        <a:schemeClr val="accent4">
          <a:lumMod val="7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Cadmium and PNEC load before treatment at Q95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'catchment table'!$H$4</c:f>
              <c:strCache>
                <c:ptCount val="1"/>
                <c:pt idx="0">
                  <c:v>Cd PNEC load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'catchment table'!$A$47:$A$63</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table'!$H$47:$H$63</c:f>
              <c:numCache>
                <c:formatCode>0.00</c:formatCode>
                <c:ptCount val="17"/>
                <c:pt idx="1">
                  <c:v>6.9120000000000006E-3</c:v>
                </c:pt>
                <c:pt idx="3">
                  <c:v>8.9856000000000005E-2</c:v>
                </c:pt>
                <c:pt idx="4">
                  <c:v>0.26438400000000001</c:v>
                </c:pt>
                <c:pt idx="16">
                  <c:v>0.38707200000000008</c:v>
                </c:pt>
              </c:numCache>
            </c:numRef>
          </c:val>
          <c:smooth val="0"/>
          <c:extLst>
            <c:ext xmlns:c16="http://schemas.microsoft.com/office/drawing/2014/chart" uri="{C3380CC4-5D6E-409C-BE32-E72D297353CC}">
              <c16:uniqueId val="{00000000-16AF-42A1-BCAB-8BC03B2DD071}"/>
            </c:ext>
          </c:extLst>
        </c:ser>
        <c:ser>
          <c:idx val="1"/>
          <c:order val="1"/>
          <c:tx>
            <c:strRef>
              <c:f>'catchment table'!$I$4</c:f>
              <c:strCache>
                <c:ptCount val="1"/>
                <c:pt idx="0">
                  <c:v>Cd Load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'catchment table'!$A$47:$A$63</c:f>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f>'catchment table'!$I$47:$I$63</c:f>
              <c:numCache>
                <c:formatCode>0.00</c:formatCode>
                <c:ptCount val="17"/>
                <c:pt idx="1">
                  <c:v>0.59616000000000002</c:v>
                </c:pt>
                <c:pt idx="3">
                  <c:v>0.62674560000000012</c:v>
                </c:pt>
                <c:pt idx="4">
                  <c:v>10.369728</c:v>
                </c:pt>
                <c:pt idx="16">
                  <c:v>5.5157759999999998</c:v>
                </c:pt>
              </c:numCache>
            </c:numRef>
          </c:val>
          <c:smooth val="0"/>
          <c:extLst>
            <c:ext xmlns:c16="http://schemas.microsoft.com/office/drawing/2014/chart" uri="{C3380CC4-5D6E-409C-BE32-E72D297353CC}">
              <c16:uniqueId val="{00000001-16AF-42A1-BCAB-8BC03B2DD071}"/>
            </c:ext>
          </c:extLst>
        </c:ser>
        <c:dLbls>
          <c:showLegendKey val="0"/>
          <c:showVal val="0"/>
          <c:showCatName val="0"/>
          <c:showSerName val="0"/>
          <c:showPercent val="0"/>
          <c:showBubbleSize val="0"/>
        </c:dLbls>
        <c:marker val="1"/>
        <c:smooth val="0"/>
        <c:axId val="353423472"/>
        <c:axId val="353211152"/>
        <c:extLst>
          <c:ext xmlns:c15="http://schemas.microsoft.com/office/drawing/2012/chart" uri="{02D57815-91ED-43cb-92C2-25804820EDAC}">
            <c15:filteredLineSeries>
              <c15:ser>
                <c:idx val="2"/>
                <c:order val="2"/>
                <c:tx>
                  <c:strRef>
                    <c:extLst>
                      <c:ext uri="{02D57815-91ED-43cb-92C2-25804820EDAC}">
                        <c15:formulaRef>
                          <c15:sqref>'catchment table'!$J$4</c15:sqref>
                        </c15:formulaRef>
                      </c:ext>
                    </c:extLst>
                    <c:strCache>
                      <c:ptCount val="1"/>
                      <c:pt idx="0">
                        <c:v>Cd load after treatment of BC 95%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c:ext uri="{02D57815-91ED-43cb-92C2-25804820EDAC}">
                        <c15:formulaRef>
                          <c15:sqref>'catchment table'!$A$47:$A$63</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c:ext uri="{02D57815-91ED-43cb-92C2-25804820EDAC}">
                        <c15:formulaRef>
                          <c15:sqref>'catchment table'!$J$47:$J$63</c15:sqref>
                        </c15:formulaRef>
                      </c:ext>
                    </c:extLst>
                    <c:numCache>
                      <c:formatCode>0.00</c:formatCode>
                      <c:ptCount val="17"/>
                      <c:pt idx="1">
                        <c:v>0.59616000000000002</c:v>
                      </c:pt>
                      <c:pt idx="3">
                        <c:v>0.62674560000000012</c:v>
                      </c:pt>
                      <c:pt idx="4">
                        <c:v>1.0966661279999992</c:v>
                      </c:pt>
                      <c:pt idx="16" formatCode="0.000">
                        <c:v>0.24192000000000002</c:v>
                      </c:pt>
                    </c:numCache>
                  </c:numRef>
                </c:val>
                <c:smooth val="0"/>
                <c:extLst>
                  <c:ext xmlns:c16="http://schemas.microsoft.com/office/drawing/2014/chart" uri="{C3380CC4-5D6E-409C-BE32-E72D297353CC}">
                    <c16:uniqueId val="{00000002-16AF-42A1-BCAB-8BC03B2DD071}"/>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'catchment table'!$K$4</c15:sqref>
                        </c15:formulaRef>
                      </c:ext>
                    </c:extLst>
                    <c:strCache>
                      <c:ptCount val="1"/>
                      <c:pt idx="0">
                        <c:v>Cd load after treatment of Barney Craig and talings dam</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'catchment table'!$A$47:$A$63</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table'!$K$47:$K$63</c15:sqref>
                        </c15:formulaRef>
                      </c:ext>
                    </c:extLst>
                    <c:numCache>
                      <c:formatCode>0.00</c:formatCode>
                      <c:ptCount val="17"/>
                      <c:pt idx="1">
                        <c:v>0.59616000000000002</c:v>
                      </c:pt>
                      <c:pt idx="3">
                        <c:v>0.62674560000000012</c:v>
                      </c:pt>
                      <c:pt idx="4">
                        <c:v>1.0966661279999992</c:v>
                      </c:pt>
                      <c:pt idx="16" formatCode="0.000">
                        <c:v>0.24192000000000002</c:v>
                      </c:pt>
                    </c:numCache>
                  </c:numRef>
                </c:val>
                <c:smooth val="0"/>
                <c:extLst>
                  <c:ext xmlns:c16="http://schemas.microsoft.com/office/drawing/2014/chart" uri="{C3380CC4-5D6E-409C-BE32-E72D297353CC}">
                    <c16:uniqueId val="{00000003-16AF-42A1-BCAB-8BC03B2DD071}"/>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'catchment table'!$L$4</c15:sqref>
                        </c15:formulaRef>
                      </c:ext>
                    </c:extLst>
                    <c:strCache>
                      <c:ptCount val="1"/>
                      <c:pt idx="0">
                        <c:v>Cd load after treatment of Barney craig, Tailings dam coal cleugh and coal/alston cleugh diffuse</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'catchment table'!$A$47:$A$63</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table'!$L$47:$L$63</c15:sqref>
                        </c15:formulaRef>
                      </c:ext>
                    </c:extLst>
                    <c:numCache>
                      <c:formatCode>0.00</c:formatCode>
                      <c:ptCount val="17"/>
                      <c:pt idx="1">
                        <c:v>5.9615999999999995E-2</c:v>
                      </c:pt>
                      <c:pt idx="3">
                        <c:v>7.7967360000000055E-2</c:v>
                      </c:pt>
                      <c:pt idx="4">
                        <c:v>0.56012212799999928</c:v>
                      </c:pt>
                      <c:pt idx="16">
                        <c:v>0.24192000000000002</c:v>
                      </c:pt>
                    </c:numCache>
                  </c:numRef>
                </c:val>
                <c:smooth val="0"/>
                <c:extLst>
                  <c:ext xmlns:c16="http://schemas.microsoft.com/office/drawing/2014/chart" uri="{C3380CC4-5D6E-409C-BE32-E72D297353CC}">
                    <c16:uniqueId val="{00000004-16AF-42A1-BCAB-8BC03B2DD071}"/>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'catchment table'!$M$4</c15:sqref>
                        </c15:formulaRef>
                      </c:ext>
                    </c:extLst>
                    <c:strCache>
                      <c:ptCount val="1"/>
                      <c:pt idx="0">
                        <c:v>Cd load after treatment of Barney craig, Tailings dam and coal/alston cleugh diffuse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strRef>
                    <c:extLst xmlns:c15="http://schemas.microsoft.com/office/drawing/2012/chart">
                      <c:ext xmlns:c15="http://schemas.microsoft.com/office/drawing/2012/chart" uri="{02D57815-91ED-43cb-92C2-25804820EDAC}">
                        <c15:formulaRef>
                          <c15:sqref>'catchment table'!$A$47:$A$63</c15:sqref>
                        </c15:formulaRef>
                      </c:ext>
                    </c:extLst>
                    <c:strCache>
                      <c:ptCount val="17"/>
                      <c:pt idx="0">
                        <c:v>0</c:v>
                      </c:pt>
                      <c:pt idx="1">
                        <c:v>WA7</c:v>
                      </c:pt>
                      <c:pt idx="2">
                        <c:v>2</c:v>
                      </c:pt>
                      <c:pt idx="3">
                        <c:v>WA6</c:v>
                      </c:pt>
                      <c:pt idx="4">
                        <c:v>WA2</c:v>
                      </c:pt>
                      <c:pt idx="5">
                        <c:v>4</c:v>
                      </c:pt>
                      <c:pt idx="6">
                        <c:v>5</c:v>
                      </c:pt>
                      <c:pt idx="7">
                        <c:v>6</c:v>
                      </c:pt>
                      <c:pt idx="8">
                        <c:v>7</c:v>
                      </c:pt>
                      <c:pt idx="9">
                        <c:v>8</c:v>
                      </c:pt>
                      <c:pt idx="10">
                        <c:v>9</c:v>
                      </c:pt>
                      <c:pt idx="11">
                        <c:v>10</c:v>
                      </c:pt>
                      <c:pt idx="12">
                        <c:v>11</c:v>
                      </c:pt>
                      <c:pt idx="13">
                        <c:v>12</c:v>
                      </c:pt>
                      <c:pt idx="14">
                        <c:v>13</c:v>
                      </c:pt>
                      <c:pt idx="15">
                        <c:v>14</c:v>
                      </c:pt>
                      <c:pt idx="16">
                        <c:v>WA1</c:v>
                      </c:pt>
                    </c:strCache>
                  </c:strRef>
                </c:cat>
                <c:val>
                  <c:numRef>
                    <c:extLst xmlns:c15="http://schemas.microsoft.com/office/drawing/2012/chart">
                      <c:ext xmlns:c15="http://schemas.microsoft.com/office/drawing/2012/chart" uri="{02D57815-91ED-43cb-92C2-25804820EDAC}">
                        <c15:formulaRef>
                          <c15:sqref>'catchment table'!$M$47:$M$63</c15:sqref>
                        </c15:formulaRef>
                      </c:ext>
                    </c:extLst>
                    <c:numCache>
                      <c:formatCode>0.00</c:formatCode>
                      <c:ptCount val="17"/>
                      <c:pt idx="1">
                        <c:v>0.59616000000000002</c:v>
                      </c:pt>
                      <c:pt idx="3">
                        <c:v>0.61451136000000006</c:v>
                      </c:pt>
                      <c:pt idx="4">
                        <c:v>1.0966661279999992</c:v>
                      </c:pt>
                      <c:pt idx="16">
                        <c:v>0.24192000000000002</c:v>
                      </c:pt>
                    </c:numCache>
                  </c:numRef>
                </c:val>
                <c:smooth val="0"/>
                <c:extLst>
                  <c:ext xmlns:c16="http://schemas.microsoft.com/office/drawing/2014/chart" uri="{C3380CC4-5D6E-409C-BE32-E72D297353CC}">
                    <c16:uniqueId val="{00000005-16AF-42A1-BCAB-8BC03B2DD071}"/>
                  </c:ext>
                </c:extLst>
              </c15:ser>
            </c15:filteredLineSeries>
          </c:ext>
        </c:extLst>
      </c:lineChart>
      <c:catAx>
        <c:axId val="3534234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Distance down catchment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211152"/>
        <c:crosses val="autoZero"/>
        <c:auto val="1"/>
        <c:lblAlgn val="ctr"/>
        <c:lblOffset val="100"/>
        <c:noMultiLvlLbl val="0"/>
      </c:catAx>
      <c:valAx>
        <c:axId val="353211152"/>
        <c:scaling>
          <c:orientation val="minMax"/>
          <c:max val="1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 g/day</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423472"/>
        <c:crosses val="autoZero"/>
        <c:crossBetween val="between"/>
        <c:majorUnit val="2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showDLblsOverMax val="0"/>
  </c:chart>
  <c:spPr>
    <a:solidFill>
      <a:schemeClr val="bg1"/>
    </a:solidFill>
    <a:ln w="19050" cap="flat" cmpd="sng" algn="ctr">
      <a:solidFill>
        <a:schemeClr val="accent6">
          <a:lumMod val="7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Lead and PNEC load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'Pb treatment tables'!$Q$2</c:f>
              <c:strCache>
                <c:ptCount val="1"/>
                <c:pt idx="0">
                  <c:v>PNEC Load g/day</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'Pb treatment tables'!$B$18:$B$29</c:f>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f>'Pb treatment tables'!$Q$3:$Q$14</c:f>
              <c:numCache>
                <c:formatCode>0.00</c:formatCode>
                <c:ptCount val="12"/>
                <c:pt idx="0">
                  <c:v>28.507852800000002</c:v>
                </c:pt>
                <c:pt idx="1">
                  <c:v>41.378687999999997</c:v>
                </c:pt>
                <c:pt idx="2">
                  <c:v>29.745791999999998</c:v>
                </c:pt>
                <c:pt idx="3">
                  <c:v>47.573568000000002</c:v>
                </c:pt>
                <c:pt idx="4">
                  <c:v>83.129587200000003</c:v>
                </c:pt>
                <c:pt idx="5">
                  <c:v>72.612288000000007</c:v>
                </c:pt>
                <c:pt idx="6">
                  <c:v>61.359897600000004</c:v>
                </c:pt>
                <c:pt idx="7">
                  <c:v>176.39493119999997</c:v>
                </c:pt>
                <c:pt idx="8">
                  <c:v>169.40171519999998</c:v>
                </c:pt>
                <c:pt idx="9">
                  <c:v>780.39936</c:v>
                </c:pt>
                <c:pt idx="10">
                  <c:v>1761.4630655999997</c:v>
                </c:pt>
                <c:pt idx="11">
                  <c:v>2313.5963904</c:v>
                </c:pt>
              </c:numCache>
            </c:numRef>
          </c:val>
          <c:smooth val="0"/>
          <c:extLst>
            <c:ext xmlns:c16="http://schemas.microsoft.com/office/drawing/2014/chart" uri="{C3380CC4-5D6E-409C-BE32-E72D297353CC}">
              <c16:uniqueId val="{00000000-84BD-4052-A11C-B06B734B3ECE}"/>
            </c:ext>
          </c:extLst>
        </c:ser>
        <c:ser>
          <c:idx val="1"/>
          <c:order val="1"/>
          <c:tx>
            <c:strRef>
              <c:f>'Pb treatment tables'!$Q$17</c:f>
              <c:strCache>
                <c:ptCount val="1"/>
                <c:pt idx="0">
                  <c:v>Load g/day - no treatment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'Pb treatment tables'!$B$18:$B$29</c:f>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f>'Pb treatment tables'!$Q$18:$Q$29</c:f>
              <c:numCache>
                <c:formatCode>0.00</c:formatCode>
                <c:ptCount val="12"/>
                <c:pt idx="0">
                  <c:v>4.8384</c:v>
                </c:pt>
                <c:pt idx="1">
                  <c:v>5.6160000000000005</c:v>
                </c:pt>
                <c:pt idx="2">
                  <c:v>8.2080000000000002</c:v>
                </c:pt>
                <c:pt idx="3">
                  <c:v>9.9359999999999999</c:v>
                </c:pt>
                <c:pt idx="4">
                  <c:v>90.210239999999999</c:v>
                </c:pt>
                <c:pt idx="5">
                  <c:v>170.48102400000002</c:v>
                </c:pt>
                <c:pt idx="6">
                  <c:v>99.448127999999997</c:v>
                </c:pt>
                <c:pt idx="7">
                  <c:v>102.14207999999999</c:v>
                </c:pt>
                <c:pt idx="8">
                  <c:v>89.714304000000013</c:v>
                </c:pt>
                <c:pt idx="9">
                  <c:v>130.56681599999999</c:v>
                </c:pt>
                <c:pt idx="10">
                  <c:v>417.556512</c:v>
                </c:pt>
                <c:pt idx="11">
                  <c:v>949.10227199999997</c:v>
                </c:pt>
              </c:numCache>
            </c:numRef>
          </c:val>
          <c:smooth val="0"/>
          <c:extLst>
            <c:ext xmlns:c16="http://schemas.microsoft.com/office/drawing/2014/chart" uri="{C3380CC4-5D6E-409C-BE32-E72D297353CC}">
              <c16:uniqueId val="{00000001-84BD-4052-A11C-B06B734B3ECE}"/>
            </c:ext>
          </c:extLst>
        </c:ser>
        <c:dLbls>
          <c:showLegendKey val="0"/>
          <c:showVal val="0"/>
          <c:showCatName val="0"/>
          <c:showSerName val="0"/>
          <c:showPercent val="0"/>
          <c:showBubbleSize val="0"/>
        </c:dLbls>
        <c:marker val="1"/>
        <c:smooth val="0"/>
        <c:axId val="353211936"/>
        <c:axId val="353212328"/>
        <c:extLst>
          <c:ext xmlns:c15="http://schemas.microsoft.com/office/drawing/2012/chart" uri="{02D57815-91ED-43cb-92C2-25804820EDAC}">
            <c15:filteredLineSeries>
              <c15:ser>
                <c:idx val="2"/>
                <c:order val="2"/>
                <c:tx>
                  <c:strRef>
                    <c:extLst>
                      <c:ext uri="{02D57815-91ED-43cb-92C2-25804820EDAC}">
                        <c15:formulaRef>
                          <c15:sqref>'Pb treatment tables'!$Q$32</c15:sqref>
                        </c15:formulaRef>
                      </c:ext>
                    </c:extLst>
                    <c:strCache>
                      <c:ptCount val="1"/>
                      <c:pt idx="0">
                        <c:v>Load g/day - Barney Craig (95%)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extLst>
                      <c:ext uri="{02D57815-91ED-43cb-92C2-25804820EDAC}">
                        <c15:formulaRef>
                          <c15:sqref>'Pb treatment tables'!$B$18:$B$29</c15:sqref>
                        </c15:formulaRef>
                      </c:ext>
                    </c:extLst>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extLst>
                      <c:ext uri="{02D57815-91ED-43cb-92C2-25804820EDAC}">
                        <c15:formulaRef>
                          <c15:sqref>'Pb treatment tables'!$Q$33:$Q$44</c15:sqref>
                        </c15:formulaRef>
                      </c:ext>
                    </c:extLst>
                    <c:numCache>
                      <c:formatCode>0.00</c:formatCode>
                      <c:ptCount val="12"/>
                      <c:pt idx="0">
                        <c:v>3.3256655999999998</c:v>
                      </c:pt>
                      <c:pt idx="1">
                        <c:v>4.1919120000000003</c:v>
                      </c:pt>
                      <c:pt idx="2">
                        <c:v>6.5664000000000007</c:v>
                      </c:pt>
                      <c:pt idx="3">
                        <c:v>8.6071248000000011</c:v>
                      </c:pt>
                      <c:pt idx="4">
                        <c:v>88.568640000000002</c:v>
                      </c:pt>
                      <c:pt idx="5">
                        <c:v>168.83942400000001</c:v>
                      </c:pt>
                      <c:pt idx="6">
                        <c:v>99.448127999999997</c:v>
                      </c:pt>
                      <c:pt idx="7">
                        <c:v>100.78776000000002</c:v>
                      </c:pt>
                      <c:pt idx="8">
                        <c:v>88.333718400000009</c:v>
                      </c:pt>
                      <c:pt idx="9">
                        <c:v>128.92521600000001</c:v>
                      </c:pt>
                      <c:pt idx="10">
                        <c:v>416.52312480000006</c:v>
                      </c:pt>
                      <c:pt idx="11">
                        <c:v>947.46067200000005</c:v>
                      </c:pt>
                    </c:numCache>
                  </c:numRef>
                </c:val>
                <c:smooth val="0"/>
                <c:extLst>
                  <c:ext xmlns:c16="http://schemas.microsoft.com/office/drawing/2014/chart" uri="{C3380CC4-5D6E-409C-BE32-E72D297353CC}">
                    <c16:uniqueId val="{00000002-84BD-4052-A11C-B06B734B3ECE}"/>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'Pb treatment tables'!$Q$47</c15:sqref>
                        </c15:formulaRef>
                      </c:ext>
                    </c:extLst>
                    <c:strCache>
                      <c:ptCount val="1"/>
                      <c:pt idx="0">
                        <c:v>Load g/day - Barney Craig (95%) and Tailings(50%)</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extLst xmlns:c15="http://schemas.microsoft.com/office/drawing/2012/chart">
                      <c:ext xmlns:c15="http://schemas.microsoft.com/office/drawing/2012/chart" uri="{02D57815-91ED-43cb-92C2-25804820EDAC}">
                        <c15:formulaRef>
                          <c15:sqref>'Pb treatment tables'!$B$18:$B$29</c15:sqref>
                        </c15:formulaRef>
                      </c:ext>
                    </c:extLst>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extLst xmlns:c15="http://schemas.microsoft.com/office/drawing/2012/chart">
                      <c:ext xmlns:c15="http://schemas.microsoft.com/office/drawing/2012/chart" uri="{02D57815-91ED-43cb-92C2-25804820EDAC}">
                        <c15:formulaRef>
                          <c15:sqref>'Pb treatment tables'!$Q$48:$Q$59</c15:sqref>
                        </c15:formulaRef>
                      </c:ext>
                    </c:extLst>
                    <c:numCache>
                      <c:formatCode>0.00</c:formatCode>
                      <c:ptCount val="12"/>
                      <c:pt idx="0">
                        <c:v>4.8384</c:v>
                      </c:pt>
                      <c:pt idx="1">
                        <c:v>5.6160000000000005</c:v>
                      </c:pt>
                      <c:pt idx="2">
                        <c:v>3.6318239999999999</c:v>
                      </c:pt>
                      <c:pt idx="3">
                        <c:v>2.1206448</c:v>
                      </c:pt>
                      <c:pt idx="4">
                        <c:v>59.683391999999998</c:v>
                      </c:pt>
                      <c:pt idx="5">
                        <c:v>90.843120000000027</c:v>
                      </c:pt>
                      <c:pt idx="6">
                        <c:v>90.806227200000009</c:v>
                      </c:pt>
                      <c:pt idx="7">
                        <c:v>98.330414399999995</c:v>
                      </c:pt>
                      <c:pt idx="8">
                        <c:v>84.550435199999995</c:v>
                      </c:pt>
                      <c:pt idx="9">
                        <c:v>125.76130848000001</c:v>
                      </c:pt>
                      <c:pt idx="10">
                        <c:v>399.09797280000004</c:v>
                      </c:pt>
                      <c:pt idx="11">
                        <c:v>892.45022400000005</c:v>
                      </c:pt>
                    </c:numCache>
                  </c:numRef>
                </c:val>
                <c:smooth val="0"/>
                <c:extLst>
                  <c:ext xmlns:c16="http://schemas.microsoft.com/office/drawing/2014/chart" uri="{C3380CC4-5D6E-409C-BE32-E72D297353CC}">
                    <c16:uniqueId val="{00000003-84BD-4052-A11C-B06B734B3ECE}"/>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'Pb treatment tables'!$Q$62</c15:sqref>
                        </c15:formulaRef>
                      </c:ext>
                    </c:extLst>
                    <c:strCache>
                      <c:ptCount val="1"/>
                      <c:pt idx="0">
                        <c:v>Load g/day - Barney Craig (95%), Tailings dam (50%), Coal cleugh (90%), diffuse upstream minesite (40%)</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extLst xmlns:c15="http://schemas.microsoft.com/office/drawing/2012/chart">
                      <c:ext xmlns:c15="http://schemas.microsoft.com/office/drawing/2012/chart" uri="{02D57815-91ED-43cb-92C2-25804820EDAC}">
                        <c15:formulaRef>
                          <c15:sqref>'Pb treatment tables'!$B$18:$B$29</c15:sqref>
                        </c15:formulaRef>
                      </c:ext>
                    </c:extLst>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extLst xmlns:c15="http://schemas.microsoft.com/office/drawing/2012/chart">
                      <c:ext xmlns:c15="http://schemas.microsoft.com/office/drawing/2012/chart" uri="{02D57815-91ED-43cb-92C2-25804820EDAC}">
                        <c15:formulaRef>
                          <c15:sqref>'Pb treatment tables'!$Q$63:$Q$74</c15:sqref>
                        </c15:formulaRef>
                      </c:ext>
                    </c:extLst>
                    <c:numCache>
                      <c:formatCode>0.00</c:formatCode>
                      <c:ptCount val="12"/>
                      <c:pt idx="0">
                        <c:v>4.8384</c:v>
                      </c:pt>
                      <c:pt idx="1">
                        <c:v>5.6160000000000005</c:v>
                      </c:pt>
                      <c:pt idx="2">
                        <c:v>8.2080000000000002</c:v>
                      </c:pt>
                      <c:pt idx="3">
                        <c:v>9.9359999999999999</c:v>
                      </c:pt>
                      <c:pt idx="4">
                        <c:v>27.5695488</c:v>
                      </c:pt>
                      <c:pt idx="5">
                        <c:v>75.867840000000001</c:v>
                      </c:pt>
                      <c:pt idx="6">
                        <c:v>68.646389759999991</c:v>
                      </c:pt>
                      <c:pt idx="7">
                        <c:v>77.394730063968566</c:v>
                      </c:pt>
                      <c:pt idx="8">
                        <c:v>87.051674218832687</c:v>
                      </c:pt>
                      <c:pt idx="9">
                        <c:v>114.68447078400003</c:v>
                      </c:pt>
                      <c:pt idx="10">
                        <c:v>366.17266080000007</c:v>
                      </c:pt>
                      <c:pt idx="11">
                        <c:v>762.85324800000001</c:v>
                      </c:pt>
                    </c:numCache>
                  </c:numRef>
                </c:val>
                <c:smooth val="0"/>
                <c:extLst>
                  <c:ext xmlns:c16="http://schemas.microsoft.com/office/drawing/2014/chart" uri="{C3380CC4-5D6E-409C-BE32-E72D297353CC}">
                    <c16:uniqueId val="{00000004-84BD-4052-A11C-B06B734B3ECE}"/>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'Pb treatment tables'!$Q$77</c15:sqref>
                        </c15:formulaRef>
                      </c:ext>
                    </c:extLst>
                    <c:strCache>
                      <c:ptCount val="1"/>
                      <c:pt idx="0">
                        <c:v>Load g/day - Barney Craig (95%), Tailings dam (50%), Coal cleugh (90%), diffuse upstream minesite (40%)</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extLst xmlns:c15="http://schemas.microsoft.com/office/drawing/2012/chart">
                      <c:ext xmlns:c15="http://schemas.microsoft.com/office/drawing/2012/chart" uri="{02D57815-91ED-43cb-92C2-25804820EDAC}">
                        <c15:formulaRef>
                          <c15:sqref>'Pb treatment tables'!$B$18:$B$29</c15:sqref>
                        </c15:formulaRef>
                      </c:ext>
                    </c:extLst>
                    <c:numCache>
                      <c:formatCode>0</c:formatCode>
                      <c:ptCount val="12"/>
                      <c:pt idx="0">
                        <c:v>95</c:v>
                      </c:pt>
                      <c:pt idx="1">
                        <c:v>94</c:v>
                      </c:pt>
                      <c:pt idx="2">
                        <c:v>91</c:v>
                      </c:pt>
                      <c:pt idx="3">
                        <c:v>89</c:v>
                      </c:pt>
                      <c:pt idx="4">
                        <c:v>81</c:v>
                      </c:pt>
                      <c:pt idx="5">
                        <c:v>80</c:v>
                      </c:pt>
                      <c:pt idx="6">
                        <c:v>79</c:v>
                      </c:pt>
                      <c:pt idx="7">
                        <c:v>55</c:v>
                      </c:pt>
                      <c:pt idx="8">
                        <c:v>54</c:v>
                      </c:pt>
                      <c:pt idx="9">
                        <c:v>53</c:v>
                      </c:pt>
                      <c:pt idx="10">
                        <c:v>21</c:v>
                      </c:pt>
                      <c:pt idx="11">
                        <c:v>18</c:v>
                      </c:pt>
                    </c:numCache>
                  </c:numRef>
                </c:cat>
                <c:val>
                  <c:numRef>
                    <c:extLst xmlns:c15="http://schemas.microsoft.com/office/drawing/2012/chart">
                      <c:ext xmlns:c15="http://schemas.microsoft.com/office/drawing/2012/chart" uri="{02D57815-91ED-43cb-92C2-25804820EDAC}">
                        <c15:formulaRef>
                          <c15:sqref>'Pb treatment tables'!$Q$78:$Q$89</c15:sqref>
                        </c15:formulaRef>
                      </c:ext>
                    </c:extLst>
                    <c:numCache>
                      <c:formatCode>0.00</c:formatCode>
                      <c:ptCount val="12"/>
                      <c:pt idx="0">
                        <c:v>4.8384</c:v>
                      </c:pt>
                      <c:pt idx="1">
                        <c:v>5.6160000000000005</c:v>
                      </c:pt>
                      <c:pt idx="2">
                        <c:v>8.2080000000000002</c:v>
                      </c:pt>
                      <c:pt idx="3">
                        <c:v>9.9359999999999999</c:v>
                      </c:pt>
                      <c:pt idx="4">
                        <c:v>27.5695488</c:v>
                      </c:pt>
                      <c:pt idx="5">
                        <c:v>75.867840000000001</c:v>
                      </c:pt>
                      <c:pt idx="6">
                        <c:v>68.646389759999991</c:v>
                      </c:pt>
                      <c:pt idx="7">
                        <c:v>77.394730063968566</c:v>
                      </c:pt>
                      <c:pt idx="8">
                        <c:v>87.051674218832687</c:v>
                      </c:pt>
                      <c:pt idx="9">
                        <c:v>114.68447078400003</c:v>
                      </c:pt>
                      <c:pt idx="10">
                        <c:v>366.17266080000007</c:v>
                      </c:pt>
                      <c:pt idx="11">
                        <c:v>762.85324800000001</c:v>
                      </c:pt>
                    </c:numCache>
                  </c:numRef>
                </c:val>
                <c:smooth val="0"/>
                <c:extLst>
                  <c:ext xmlns:c16="http://schemas.microsoft.com/office/drawing/2014/chart" uri="{C3380CC4-5D6E-409C-BE32-E72D297353CC}">
                    <c16:uniqueId val="{00000005-84BD-4052-A11C-B06B734B3ECE}"/>
                  </c:ext>
                </c:extLst>
              </c15:ser>
            </c15:filteredLineSeries>
          </c:ext>
        </c:extLst>
      </c:lineChart>
      <c:catAx>
        <c:axId val="3532119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Q value</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212328"/>
        <c:crosses val="autoZero"/>
        <c:auto val="1"/>
        <c:lblAlgn val="ctr"/>
        <c:lblOffset val="100"/>
        <c:noMultiLvlLbl val="0"/>
      </c:catAx>
      <c:valAx>
        <c:axId val="353212328"/>
        <c:scaling>
          <c:orientation val="minMax"/>
          <c:max val="20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Loading </a:t>
                </a:r>
                <a:r>
                  <a:rPr lang="en-GB" baseline="0"/>
                  <a:t>g/day</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3211936"/>
        <c:crosses val="autoZero"/>
        <c:crossBetween val="between"/>
        <c:majorUnit val="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span"/>
    <c:showDLblsOverMax val="0"/>
  </c:chart>
  <c:spPr>
    <a:solidFill>
      <a:schemeClr val="bg1"/>
    </a:solidFill>
    <a:ln w="19050" cap="flat" cmpd="sng" algn="ctr">
      <a:solidFill>
        <a:schemeClr val="accent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3a6b4335-5dbe-4122-88f1-389d72ce5a3a" xsi:nil="true"/>
    <lcf76f155ced4ddcb4097134ff3c332f xmlns="4894ed02-b5b2-427f-bdb5-65b8af942126">
      <Terms xmlns="http://schemas.microsoft.com/office/infopath/2007/PartnerControls"/>
    </lcf76f155ced4ddcb4097134ff3c332f>
    <Purpose xmlns="4894ed02-b5b2-427f-bdb5-65b8af942126"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237F78445D8A346AC51E6E91232B143" ma:contentTypeVersion="18" ma:contentTypeDescription="Create a new document." ma:contentTypeScope="" ma:versionID="6d1e15d17d0d29c2eacde388f4d939bd">
  <xsd:schema xmlns:xsd="http://www.w3.org/2001/XMLSchema" xmlns:xs="http://www.w3.org/2001/XMLSchema" xmlns:p="http://schemas.microsoft.com/office/2006/metadata/properties" xmlns:ns2="4894ed02-b5b2-427f-bdb5-65b8af942126" xmlns:ns3="3a6b4335-5dbe-4122-88f1-389d72ce5a3a" targetNamespace="http://schemas.microsoft.com/office/2006/metadata/properties" ma:root="true" ma:fieldsID="82b67072e63037bed85495522554b517" ns2:_="" ns3:_="">
    <xsd:import namespace="4894ed02-b5b2-427f-bdb5-65b8af942126"/>
    <xsd:import namespace="3a6b4335-5dbe-4122-88f1-389d72ce5a3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lcf76f155ced4ddcb4097134ff3c332f" minOccurs="0"/>
                <xsd:element ref="ns3:TaxCatchAll" minOccurs="0"/>
                <xsd:element ref="ns2:Purpose"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94ed02-b5b2-427f-bdb5-65b8af9421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dfc3364f-1316-46de-9387-657154bece92" ma:termSetId="09814cd3-568e-fe90-9814-8d621ff8fb84" ma:anchorId="fba54fb3-c3e1-fe81-a776-ca4b69148c4d" ma:open="true" ma:isKeyword="false">
      <xsd:complexType>
        <xsd:sequence>
          <xsd:element ref="pc:Terms" minOccurs="0" maxOccurs="1"/>
        </xsd:sequence>
      </xsd:complexType>
    </xsd:element>
    <xsd:element name="Purpose" ma:index="22" nillable="true" ma:displayName="Purpose" ma:description="Intended use" ma:format="Dropdown" ma:internalName="Purpose">
      <xsd:simpleType>
        <xsd:restriction base="dms:Note">
          <xsd:maxLength value="255"/>
        </xsd:restriction>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a6b4335-5dbe-4122-88f1-389d72ce5a3a"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20eb220f-50b3-4b05-97b7-3580ca67b6b8}" ma:internalName="TaxCatchAll" ma:showField="CatchAllData" ma:web="3a6b4335-5dbe-4122-88f1-389d72ce5a3a">
      <xsd:complexType>
        <xsd:complexContent>
          <xsd:extension base="dms:MultiChoiceLookup">
            <xsd:sequence>
              <xsd:element name="Value" type="dms:Lookup" maxOccurs="unbounded" minOccurs="0" nillable="true"/>
            </xsd:sequence>
          </xsd:extension>
        </xsd:complexContent>
      </xsd:complexType>
    </xsd:element>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4EF6E17-B58A-4105-AAC4-811B2BEA2A85}">
  <ds:schemaRefs>
    <ds:schemaRef ds:uri="http://purl.org/dc/terms/"/>
    <ds:schemaRef ds:uri="3a6b4335-5dbe-4122-88f1-389d72ce5a3a"/>
    <ds:schemaRef ds:uri="4894ed02-b5b2-427f-bdb5-65b8af942126"/>
    <ds:schemaRef ds:uri="http://schemas.microsoft.com/office/2006/documentManagement/types"/>
    <ds:schemaRef ds:uri="http://purl.org/dc/elements/1.1/"/>
    <ds:schemaRef ds:uri="http://purl.org/dc/dcmitype/"/>
    <ds:schemaRef ds:uri="http://schemas.microsoft.com/office/infopath/2007/PartnerControls"/>
    <ds:schemaRef ds:uri="http://schemas.openxmlformats.org/package/2006/metadata/core-propertie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B10390FC-3F43-4877-8129-E7B693BE0CAB}">
  <ds:schemaRefs>
    <ds:schemaRef ds:uri="http://schemas.microsoft.com/sharepoint/v3/contenttype/forms"/>
  </ds:schemaRefs>
</ds:datastoreItem>
</file>

<file path=customXml/itemProps3.xml><?xml version="1.0" encoding="utf-8"?>
<ds:datastoreItem xmlns:ds="http://schemas.openxmlformats.org/officeDocument/2006/customXml" ds:itemID="{1F3B5AB7-B9AD-467D-BB7F-CE3D8D38B0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94ed02-b5b2-427f-bdb5-65b8af942126"/>
    <ds:schemaRef ds:uri="3a6b4335-5dbe-4122-88f1-389d72ce5a3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26_01_SD08.dot</Template>
  <TotalTime>1</TotalTime>
  <Pages>16</Pages>
  <Words>6439</Words>
  <Characters>36707</Characters>
  <Application>Microsoft Office Word</Application>
  <DocSecurity>4</DocSecurity>
  <Lines>305</Lines>
  <Paragraphs>86</Paragraphs>
  <ScaleCrop>false</ScaleCrop>
  <HeadingPairs>
    <vt:vector size="2" baseType="variant">
      <vt:variant>
        <vt:lpstr>Title</vt:lpstr>
      </vt:variant>
      <vt:variant>
        <vt:i4>1</vt:i4>
      </vt:variant>
    </vt:vector>
  </HeadingPairs>
  <TitlesOfParts>
    <vt:vector size="1" baseType="lpstr">
      <vt:lpstr>Catchment characterisation reporting template</vt:lpstr>
    </vt:vector>
  </TitlesOfParts>
  <Company>Environment Agency</Company>
  <LinksUpToDate>false</LinksUpToDate>
  <CharactersWithSpaces>43060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Catchment characterisation reporting template</dc:title>
  <dc:creator>Hugh Potter</dc:creator>
  <cp:lastModifiedBy>Josh Turner</cp:lastModifiedBy>
  <cp:revision>2</cp:revision>
  <cp:lastPrinted>2016-08-05T09:50:00Z</cp:lastPrinted>
  <dcterms:created xsi:type="dcterms:W3CDTF">2023-09-18T10:42:00Z</dcterms:created>
  <dcterms:modified xsi:type="dcterms:W3CDTF">2023-09-18T10:42:00Z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0x0101007237F78445D8A346AC51E6E91232B143</vt:lpwstr>
  </property>
</Properties>
</file>